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rPr>
          <w:rFonts w:hint="eastAsia"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JSZC-320583-KSZJ-T2026-0001</w:t>
      </w:r>
      <w:r>
        <w:rPr>
          <w:rFonts w:ascii="宋体" w:hAnsi="宋体"/>
          <w:sz w:val="28"/>
          <w:szCs w:val="28"/>
        </w:rPr>
        <w:t xml:space="preserve">号</w:t>
      </w:r>
      <w:r>
        <w:rPr>
          <w:rFonts w:hint="eastAsia" w:ascii="宋体" w:hAnsi="宋体"/>
          <w:sz w:val="28"/>
          <w:szCs w:val="28"/>
        </w:rPr>
      </w:r>
      <w:r/>
    </w:p>
    <w:p>
      <w:pPr>
        <w:pStyle w:val="898"/>
        <w:spacing w:line="360" w:lineRule="auto"/>
        <w:rPr>
          <w:rFonts w:hint="eastAsia" w:ascii="宋体" w:hAnsi="宋体"/>
          <w:sz w:val="36"/>
        </w:rPr>
      </w:pPr>
      <w:r>
        <w:rPr>
          <w:rFonts w:hint="eastAsia" w:ascii="宋体" w:hAnsi="宋体"/>
          <w:sz w:val="36"/>
        </w:rPr>
        <w:t xml:space="preserve"> </w:t>
      </w:r>
      <w:r/>
    </w:p>
    <w:p>
      <w:pPr>
        <w:pStyle w:val="898"/>
        <w:spacing w:line="360" w:lineRule="auto"/>
        <w:rPr>
          <w:rFonts w:hint="eastAsia" w:ascii="宋体" w:hAnsi="宋体"/>
        </w:rPr>
      </w:pPr>
      <w:r>
        <w:rPr>
          <w:rFonts w:hint="eastAsia" w:ascii="宋体" w:hAnsi="宋体"/>
        </w:rPr>
        <w:t xml:space="preserve"> </w:t>
      </w:r>
      <w:r/>
    </w:p>
    <w:p>
      <w:pPr>
        <w:pStyle w:val="898"/>
        <w:jc w:val="center"/>
        <w:spacing w:line="360" w:lineRule="auto"/>
        <w:rPr>
          <w:rFonts w:hint="eastAsia" w:ascii="宋体" w:hAnsi="宋体"/>
          <w:sz w:val="32"/>
          <w:szCs w:val="32"/>
        </w:rPr>
      </w:pPr>
      <w:r>
        <w:rPr>
          <w:rFonts w:hint="eastAsia" w:ascii="宋体" w:hAnsi="宋体"/>
          <w:sz w:val="32"/>
          <w:szCs w:val="32"/>
        </w:rPr>
        <w:t xml:space="preserve">昆山市政府采购竞争性谈判文件</w:t>
      </w:r>
      <w:r/>
    </w:p>
    <w:p>
      <w:pPr>
        <w:pStyle w:val="898"/>
        <w:jc w:val="center"/>
        <w:spacing w:line="360" w:lineRule="auto"/>
        <w:rPr>
          <w:rFonts w:hint="eastAsia" w:ascii="宋体" w:hAnsi="宋体"/>
          <w:sz w:val="32"/>
          <w:szCs w:val="32"/>
        </w:rPr>
      </w:pPr>
      <w:r>
        <w:rPr>
          <w:rFonts w:hint="eastAsia" w:ascii="宋体" w:hAnsi="宋体"/>
          <w:sz w:val="32"/>
          <w:szCs w:val="32"/>
        </w:rPr>
      </w:r>
      <w:r/>
    </w:p>
    <w:p>
      <w:pPr>
        <w:pStyle w:val="898"/>
        <w:jc w:val="center"/>
        <w:spacing w:line="360" w:lineRule="auto"/>
        <w:rPr>
          <w:rFonts w:hint="eastAsia" w:ascii="宋体" w:hAnsi="宋体"/>
          <w:sz w:val="32"/>
          <w:szCs w:val="32"/>
        </w:rPr>
      </w:pPr>
      <w:r>
        <w:rPr>
          <w:rFonts w:hint="eastAsia" w:ascii="宋体" w:hAnsi="宋体"/>
          <w:sz w:val="32"/>
          <w:szCs w:val="32"/>
        </w:rPr>
      </w:r>
      <w:r/>
    </w:p>
    <w:p>
      <w:pPr>
        <w:pStyle w:val="898"/>
        <w:spacing w:line="360" w:lineRule="auto"/>
        <w:rPr>
          <w:rFonts w:hint="eastAsia" w:ascii="宋体" w:hAnsi="宋体"/>
          <w:sz w:val="32"/>
          <w:szCs w:val="32"/>
        </w:rPr>
      </w:pPr>
      <w:r>
        <w:rPr>
          <w:rFonts w:hint="eastAsia" w:ascii="宋体" w:hAnsi="宋体"/>
          <w:sz w:val="32"/>
          <w:szCs w:val="32"/>
        </w:rPr>
      </w:r>
      <w:r/>
    </w:p>
    <w:p>
      <w:pPr>
        <w:pStyle w:val="898"/>
        <w:jc w:val="center"/>
        <w:spacing w:line="360" w:lineRule="auto"/>
        <w:rPr>
          <w:rFonts w:hint="eastAsia"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3" o:title=""/>
              </v:shape>
            </w:pict>
          </mc:Fallback>
        </mc:AlternateContent>
      </w:r>
      <w:r>
        <w:rPr>
          <w:rFonts w:hint="eastAsia" w:ascii="宋体" w:hAnsi="宋体"/>
          <w:sz w:val="32"/>
          <w:szCs w:val="32"/>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28"/>
        </w:rPr>
      </w:pPr>
      <w:r>
        <w:rPr>
          <w:rFonts w:hint="eastAsia" w:ascii="宋体" w:hAnsi="宋体"/>
          <w:sz w:val="28"/>
        </w:rPr>
        <w:t xml:space="preserve">项目名称：</w:t>
      </w:r>
      <w:r>
        <w:rPr>
          <w:rFonts w:hint="eastAsia" w:ascii="宋体" w:hAnsi="宋体"/>
          <w:sz w:val="28"/>
        </w:rPr>
        <w:t xml:space="preserve">昆山市中医医院医疗责任险合作项目</w:t>
      </w:r>
      <w:r>
        <w:rPr>
          <w:rFonts w:hint="eastAsia" w:ascii="宋体" w:hAnsi="宋体"/>
          <w:sz w:val="28"/>
        </w:rPr>
      </w:r>
      <w:r/>
    </w:p>
    <w:p>
      <w:pPr>
        <w:pStyle w:val="898"/>
        <w:jc w:val="center"/>
        <w:spacing w:line="360" w:lineRule="auto"/>
        <w:rPr>
          <w:rFonts w:hint="eastAsia" w:ascii="宋体" w:hAnsi="宋体"/>
          <w:sz w:val="28"/>
        </w:rPr>
      </w:pPr>
      <w:r>
        <w:rPr>
          <w:rFonts w:hint="eastAsia" w:ascii="宋体" w:hAnsi="宋体"/>
          <w:sz w:val="28"/>
        </w:rPr>
        <w:t xml:space="preserve">采购单位：昆山市中医医院</w:t>
      </w:r>
      <w:r/>
    </w:p>
    <w:p>
      <w:pPr>
        <w:pStyle w:val="898"/>
        <w:spacing w:line="360" w:lineRule="auto"/>
        <w:rPr>
          <w:rFonts w:hint="eastAsia" w:ascii="宋体" w:hAnsi="宋体"/>
          <w:sz w:val="28"/>
        </w:rPr>
      </w:pPr>
      <w:r>
        <w:rPr>
          <w:rFonts w:hint="eastAsia" w:ascii="宋体" w:hAnsi="宋体"/>
          <w:sz w:val="28"/>
        </w:rPr>
      </w:r>
      <w:r/>
    </w:p>
    <w:p>
      <w:pPr>
        <w:pStyle w:val="898"/>
        <w:spacing w:line="360" w:lineRule="auto"/>
        <w:rPr>
          <w:rFonts w:hint="eastAsia" w:ascii="宋体" w:hAnsi="宋体"/>
          <w:sz w:val="28"/>
        </w:rPr>
      </w:pPr>
      <w:r>
        <w:rPr>
          <w:rFonts w:hint="eastAsia" w:ascii="宋体" w:hAnsi="宋体"/>
          <w:sz w:val="28"/>
        </w:rPr>
      </w:r>
      <w:r/>
    </w:p>
    <w:p>
      <w:pPr>
        <w:pStyle w:val="898"/>
        <w:ind w:firstLine="280"/>
        <w:jc w:val="center"/>
        <w:rPr>
          <w:rFonts w:hint="eastAsia" w:ascii="宋体" w:hAnsi="宋体"/>
          <w:sz w:val="28"/>
        </w:rPr>
      </w:pPr>
      <w:r>
        <w:rPr>
          <w:rFonts w:ascii="宋体" w:hAnsi="宋体"/>
          <w:sz w:val="28"/>
        </w:rPr>
        <w:t xml:space="preserve">昆山新忠健项目管理有限公司</w:t>
      </w:r>
      <w:r>
        <w:rPr>
          <w:rFonts w:hint="eastAsia" w:ascii="宋体" w:hAnsi="宋体"/>
          <w:sz w:val="28"/>
        </w:rPr>
      </w:r>
      <w:r/>
    </w:p>
    <w:p>
      <w:pPr>
        <w:pStyle w:val="898"/>
        <w:ind w:firstLine="280"/>
        <w:jc w:val="center"/>
        <w:rPr>
          <w:rFonts w:hint="eastAsia"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w:t>
      </w:r>
      <w:r>
        <w:rPr>
          <w:rFonts w:hint="eastAsia" w:ascii="宋体" w:hAnsi="宋体"/>
          <w:sz w:val="28"/>
        </w:rPr>
        <w:t xml:space="preserve">年</w:t>
      </w:r>
      <w:r/>
    </w:p>
    <w:p>
      <w:pPr>
        <w:pStyle w:val="898"/>
        <w:jc w:val="center"/>
        <w:spacing w:line="360" w:lineRule="auto"/>
        <w:rPr>
          <w:rFonts w:hint="eastAsia" w:ascii="宋体" w:hAnsi="宋体"/>
          <w:b/>
          <w:sz w:val="36"/>
        </w:rPr>
      </w:pPr>
      <w:r>
        <w:rPr>
          <w:rFonts w:hint="eastAsia" w:ascii="宋体" w:hAnsi="宋体"/>
          <w:b/>
          <w:sz w:val="36"/>
        </w:rPr>
      </w:r>
      <w:r/>
    </w:p>
    <w:p>
      <w:pPr>
        <w:pStyle w:val="898"/>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pStyle w:val="898"/>
        <w:jc w:val="center"/>
        <w:spacing w:line="360" w:lineRule="auto"/>
        <w:rPr>
          <w:rFonts w:hint="eastAsia" w:ascii="宋体" w:hAnsi="宋体"/>
          <w:b/>
          <w:sz w:val="48"/>
        </w:rPr>
      </w:pPr>
      <w:r>
        <w:rPr>
          <w:rFonts w:hint="eastAsia" w:ascii="宋体" w:hAnsi="宋体"/>
          <w:b/>
          <w:sz w:val="48"/>
        </w:rPr>
        <w:t xml:space="preserve">目   录</w:t>
      </w:r>
      <w:r/>
    </w:p>
    <w:p>
      <w:pPr>
        <w:pStyle w:val="955"/>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"_Toc161591365"</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第一章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"_Toc161591366"</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第二章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 xml:space="preserve">6</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"_Toc161591367"</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第三章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 xml:space="preserve">17</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"_Toc161591374"</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第四章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 xml:space="preserve">19</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"_Toc161591375"</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第五章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 xml:space="preserve">23</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"_Toc161591376"</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第六章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 xml:space="preserve">26</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898"/>
        <w:spacing w:line="480" w:lineRule="auto"/>
      </w:pPr>
      <w:r>
        <w:rPr>
          <w:rFonts w:ascii="宋体" w:hAnsi="宋体"/>
          <w:sz w:val="24"/>
          <w:szCs w:val="24"/>
        </w:rPr>
        <w:fldChar w:fldCharType="end"/>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9"/>
        <w:numPr>
          <w:ilvl w:val="0"/>
          <w:numId w:val="9"/>
        </w:numPr>
        <w:spacing w:line="360" w:lineRule="auto"/>
        <w:tabs>
          <w:tab w:val="left" w:pos="405" w:leader="none"/>
          <w:tab w:val="left" w:pos="420" w:leader="none"/>
        </w:tabs>
        <w:rPr>
          <w:rFonts w:hint="eastAsia" w:ascii="宋体" w:hAnsi="宋体"/>
          <w:b/>
        </w:rPr>
      </w:pPr>
      <w:r/>
      <w:bookmarkStart w:id="0" w:name="_Toc161591365"/>
      <w:r>
        <w:rPr>
          <w:rFonts w:hint="eastAsia" w:ascii="宋体" w:hAnsi="宋体"/>
          <w:b/>
        </w:rPr>
        <w:t xml:space="preserve">竞争性谈判邀请函</w:t>
      </w:r>
      <w:bookmarkEnd w:id="0"/>
      <w:r>
        <w:rPr>
          <w:rFonts w:hint="eastAsia" w:ascii="宋体" w:hAnsi="宋体"/>
          <w:b/>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t xml:space="preserve">昆山市中医医院医疗责任险合作项目</w:t>
      </w:r>
      <w:r>
        <w:rPr>
          <w:rFonts w:hint="eastAsia" w:ascii="宋体" w:hAnsi="宋体"/>
          <w:sz w:val="24"/>
          <w:szCs w:val="24"/>
        </w:rPr>
        <w:t xml:space="preserve">的潜在供应商在苏采云系统自行下载谈判文件，并于</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日10点30分（北京时间）前提交电子响应文件。</w:t>
      </w:r>
      <w:r/>
    </w:p>
    <w:p>
      <w:pPr>
        <w:pStyle w:val="898"/>
        <w:ind w:firstLine="482"/>
        <w:spacing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项目编号：</w:t>
      </w:r>
      <w:r>
        <w:rPr>
          <w:rFonts w:ascii="宋体" w:hAnsi="宋体"/>
          <w:sz w:val="24"/>
          <w:szCs w:val="24"/>
        </w:rPr>
        <w:t xml:space="preserve">JSZC-320583-KSZJ-T2026-0001</w:t>
      </w:r>
      <w:r>
        <w:rPr>
          <w:rFonts w:hint="eastAsia" w:ascii="宋体" w:hAnsi="宋体"/>
          <w:sz w:val="24"/>
          <w:szCs w:val="24"/>
        </w:rPr>
        <w:t xml:space="preserve">；</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rPr>
          <w:rFonts w:ascii="宋体" w:hAnsi="宋体"/>
          <w:sz w:val="24"/>
          <w:szCs w:val="24"/>
        </w:rPr>
      </w:r>
      <w:r/>
    </w:p>
    <w:p>
      <w:pPr>
        <w:pStyle w:val="898"/>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预算金额：人民币叁佰捌拾万</w:t>
      </w:r>
      <w:r>
        <w:rPr>
          <w:rFonts w:ascii="宋体" w:hAnsi="宋体"/>
          <w:sz w:val="24"/>
          <w:szCs w:val="24"/>
        </w:rPr>
        <w:t xml:space="preserve">元整</w:t>
      </w:r>
      <w:r>
        <w:rPr>
          <w:rFonts w:hint="eastAsia" w:ascii="宋体" w:hAnsi="宋体"/>
          <w:sz w:val="24"/>
          <w:szCs w:val="24"/>
        </w:rPr>
        <w:t xml:space="preserve">（RMB:3800000元）；</w:t>
      </w:r>
      <w:r/>
    </w:p>
    <w:p>
      <w:pPr>
        <w:pStyle w:val="898"/>
        <w:ind w:firstLine="480"/>
        <w:spacing w:line="360" w:lineRule="auto"/>
        <w:rPr>
          <w:rFonts w:ascii="宋体" w:hAnsi="宋体"/>
          <w:sz w:val="24"/>
          <w:szCs w:val="24"/>
        </w:rPr>
      </w:pPr>
      <w:r>
        <w:rPr>
          <w:rFonts w:hint="eastAsia" w:ascii="宋体" w:hAnsi="宋体"/>
          <w:sz w:val="24"/>
          <w:szCs w:val="24"/>
        </w:rPr>
        <w:t xml:space="preserve">5.采购需求：</w:t>
      </w:r>
      <w:r>
        <w:rPr>
          <w:rFonts w:hint="eastAsia" w:ascii="宋体" w:hAnsi="宋体"/>
          <w:sz w:val="24"/>
          <w:szCs w:val="24"/>
        </w:rPr>
        <w:t xml:space="preserve">昆山市中医医院医疗责任险合作项目</w:t>
      </w:r>
      <w:r>
        <w:rPr>
          <w:rFonts w:hint="eastAsia" w:ascii="宋体" w:hAnsi="宋体"/>
          <w:sz w:val="24"/>
          <w:szCs w:val="24"/>
        </w:rPr>
        <w:t xml:space="preserve">，具体详见谈判文件；</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服务期：</w:t>
      </w:r>
      <w:r>
        <w:rPr>
          <w:rFonts w:hint="eastAsia" w:ascii="宋体" w:hAnsi="宋体"/>
          <w:b/>
          <w:sz w:val="24"/>
          <w:szCs w:val="24"/>
        </w:rPr>
        <w:t xml:space="preserve">2年（具体合同中明确）；</w:t>
      </w:r>
      <w:r>
        <w:rPr>
          <w:rFonts w:ascii="宋体" w:hAnsi="宋体"/>
          <w:sz w:val="24"/>
          <w:szCs w:val="24"/>
        </w:rPr>
      </w:r>
      <w:r/>
    </w:p>
    <w:p>
      <w:pPr>
        <w:pStyle w:val="898"/>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rPr>
          <w:rFonts w:ascii="宋体" w:hAnsi="宋体"/>
          <w:b/>
          <w:bCs/>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rPr>
          <w:rFonts w:ascii="宋体" w:hAnsi="宋体"/>
          <w:sz w:val="24"/>
          <w:szCs w:val="24"/>
        </w:rPr>
      </w:r>
      <w:r/>
    </w:p>
    <w:p>
      <w:pPr>
        <w:pStyle w:val="898"/>
        <w:ind w:firstLine="420"/>
        <w:spacing w:line="360" w:lineRule="auto"/>
        <w:rPr>
          <w:rFonts w:hint="eastAsia" w:ascii="宋体" w:hAnsi="宋体"/>
          <w:sz w:val="24"/>
          <w:szCs w:val="24"/>
        </w:rPr>
      </w:pPr>
      <w:r/>
      <w:bookmarkStart w:id="1" w:name="_Toc28359004"/>
      <w:r>
        <w:rPr>
          <w:rFonts w:hint="eastAsia" w:ascii="宋体" w:hAnsi="宋体"/>
          <w:sz w:val="24"/>
          <w:szCs w:val="24"/>
        </w:rPr>
        <w:t xml:space="preserve">（二）落实政府采购政策需满足的资格要求：无。</w:t>
      </w:r>
      <w:r/>
    </w:p>
    <w:p>
      <w:pPr>
        <w:pStyle w:val="898"/>
        <w:ind w:firstLine="420"/>
        <w:spacing w:line="360" w:lineRule="auto"/>
        <w:rPr>
          <w:rFonts w:hint="eastAsia" w:ascii="宋体" w:hAnsi="宋体"/>
          <w:sz w:val="24"/>
          <w:szCs w:val="24"/>
        </w:rPr>
      </w:pPr>
      <w:r>
        <w:rPr>
          <w:rFonts w:hint="eastAsia" w:ascii="宋体" w:hAnsi="宋体"/>
          <w:sz w:val="24"/>
          <w:szCs w:val="24"/>
        </w:rPr>
        <w:t xml:space="preserve">（三）本项目的特定资格要求</w:t>
      </w:r>
      <w:bookmarkEnd w:id="1"/>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1.未被“信用中国”网站（www.creditchina.gov.cn）列入失信被执行人、重大税收违法案件当事人名单、政府采购严重失信行为记录名单。</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2.投标人具有相关部门核发的《保险许可证》。</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3.本项目</w:t>
      </w:r>
      <w:r>
        <w:rPr>
          <w:rFonts w:hint="eastAsia" w:ascii="宋体" w:hAnsi="宋体"/>
          <w:sz w:val="24"/>
          <w:szCs w:val="24"/>
        </w:rPr>
        <w:t xml:space="preserve">属于保险采购项目，</w:t>
      </w:r>
      <w:r>
        <w:rPr>
          <w:rFonts w:hint="eastAsia" w:ascii="宋体" w:hAnsi="宋体"/>
          <w:sz w:val="24"/>
          <w:szCs w:val="24"/>
        </w:rPr>
        <w:t xml:space="preserve">接受法人分支机构</w:t>
      </w:r>
      <w:r>
        <w:rPr>
          <w:rFonts w:hint="eastAsia" w:ascii="宋体" w:hAnsi="宋体"/>
          <w:sz w:val="24"/>
          <w:szCs w:val="24"/>
        </w:rPr>
        <w:t xml:space="preserve">进行投标。</w:t>
      </w:r>
      <w:r>
        <w:rPr>
          <w:rFonts w:hint="eastAsia" w:ascii="宋体" w:hAnsi="宋体"/>
          <w:sz w:val="24"/>
          <w:szCs w:val="24"/>
        </w:rPr>
        <w:t xml:space="preserve">注：同一保险公司有两个及两个以上的下属分支机构同时参加本项目的，则其响应文件均按无效响应文件处理。</w:t>
      </w:r>
      <w:r/>
    </w:p>
    <w:p>
      <w:pPr>
        <w:pStyle w:val="898"/>
        <w:ind w:right="-315" w:firstLine="420"/>
        <w:spacing w:line="360" w:lineRule="auto"/>
        <w:rPr>
          <w:rFonts w:hint="eastAsia" w:ascii="宋体" w:hAnsi="宋体"/>
          <w:b/>
          <w:sz w:val="24"/>
          <w:szCs w:val="24"/>
        </w:rPr>
      </w:pPr>
      <w:r>
        <w:rPr>
          <w:rFonts w:hint="eastAsia" w:ascii="宋体" w:hAnsi="宋体"/>
          <w:b/>
          <w:sz w:val="24"/>
          <w:szCs w:val="24"/>
        </w:rPr>
        <w:t xml:space="preserve">（四）联合体及转包、分包：本项目不接受联合体，不得转包、分包本项目。</w:t>
      </w:r>
      <w:r/>
    </w:p>
    <w:p>
      <w:pPr>
        <w:pStyle w:val="898"/>
        <w:ind w:right="-315" w:firstLine="420"/>
        <w:spacing w:line="360" w:lineRule="auto"/>
        <w:rPr>
          <w:rFonts w:hint="eastAsia" w:ascii="宋体" w:hAnsi="宋体"/>
          <w:sz w:val="24"/>
          <w:szCs w:val="24"/>
        </w:rPr>
      </w:pPr>
      <w:r>
        <w:rPr>
          <w:rFonts w:hint="eastAsia" w:ascii="宋体" w:hAnsi="宋体"/>
          <w:sz w:val="24"/>
        </w:rPr>
        <w:t xml:space="preserve">三、获取谈判文件</w:t>
      </w:r>
      <w:r>
        <w:rPr>
          <w:rFonts w:hint="eastAsia" w:ascii="宋体" w:hAnsi="宋体"/>
          <w:sz w:val="24"/>
          <w:szCs w:val="24"/>
        </w:rPr>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en-US"/>
        </w:rPr>
        <w:t xml:space="preserve">公告发布</w:t>
      </w:r>
      <w:r>
        <w:rPr>
          <w:rFonts w:hint="eastAsia" w:ascii="宋体" w:hAnsi="宋体"/>
          <w:sz w:val="24"/>
          <w:szCs w:val="24"/>
        </w:rPr>
        <w:t xml:space="preserve">之日3个工作日。</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2.方式：在苏采云系统自行下载。</w:t>
      </w:r>
      <w:r/>
    </w:p>
    <w:p>
      <w:pPr>
        <w:pStyle w:val="898"/>
        <w:ind w:firstLine="420"/>
        <w:jc w:val="left"/>
        <w:spacing w:line="360" w:lineRule="auto"/>
        <w:rPr>
          <w:rFonts w:ascii="宋体" w:hAnsi="宋体"/>
          <w:sz w:val="24"/>
          <w:szCs w:val="24"/>
        </w:rPr>
      </w:pPr>
      <w:r>
        <w:rPr>
          <w:rFonts w:hint="eastAsia" w:ascii="宋体" w:hAnsi="宋体"/>
          <w:sz w:val="24"/>
          <w:szCs w:val="24"/>
        </w:rPr>
        <w:t xml:space="preserve">3.售价：免费</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四、提交响应文件截止时间、开标时间和地点</w:t>
      </w:r>
      <w:r/>
    </w:p>
    <w:p>
      <w:pPr>
        <w:pStyle w:val="898"/>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日10:30（北京时间）；</w:t>
      </w:r>
      <w:r>
        <w:rPr>
          <w:rFonts w:ascii="宋体" w:hAnsi="宋体"/>
          <w:sz w:val="24"/>
          <w:szCs w:val="24"/>
        </w:rPr>
      </w:r>
      <w:r/>
    </w:p>
    <w:p>
      <w:pPr>
        <w:pStyle w:val="898"/>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日10:30（北京时间）；</w:t>
      </w:r>
      <w:r>
        <w:rPr>
          <w:rFonts w:ascii="宋体" w:hAnsi="宋体"/>
          <w:sz w:val="24"/>
          <w:szCs w:val="24"/>
        </w:rPr>
      </w:r>
      <w:r/>
    </w:p>
    <w:p>
      <w:pPr>
        <w:pStyle w:val="898"/>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rPr>
          <w:rFonts w:ascii="宋体" w:hAnsi="宋体"/>
          <w:sz w:val="24"/>
          <w:szCs w:val="24"/>
        </w:rPr>
      </w:r>
      <w:r/>
    </w:p>
    <w:p>
      <w:pPr>
        <w:pStyle w:val="898"/>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rPr>
          <w:rFonts w:ascii="宋体" w:hAnsi="宋体"/>
          <w:b/>
          <w:sz w:val="24"/>
          <w:szCs w:val="24"/>
        </w:rPr>
      </w:r>
      <w:r/>
    </w:p>
    <w:p>
      <w:pPr>
        <w:pStyle w:val="898"/>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rPr>
          <w:rFonts w:ascii="宋体" w:hAnsi="宋体"/>
          <w:sz w:val="24"/>
          <w:szCs w:val="24"/>
        </w:rPr>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五、公告期限：自公告发布之日起3个工作日。</w:t>
      </w:r>
      <w:r/>
    </w:p>
    <w:p>
      <w:pPr>
        <w:pStyle w:val="898"/>
        <w:ind w:right="-315" w:firstLine="420"/>
        <w:spacing w:line="360" w:lineRule="auto"/>
        <w:rPr>
          <w:rFonts w:hint="eastAsia" w:ascii="宋体" w:hAnsi="宋体"/>
          <w:sz w:val="24"/>
          <w:szCs w:val="24"/>
        </w:rPr>
      </w:pPr>
      <w:r>
        <w:rPr>
          <w:rFonts w:hint="eastAsia" w:ascii="宋体" w:hAnsi="宋体"/>
          <w:sz w:val="24"/>
          <w:szCs w:val="24"/>
        </w:rPr>
        <w:t xml:space="preserve">六、成交单位需按以下计算标准支付中标服务费，以差额定率累进计算法收费（按预算金额100万元以下，收取1.5%；100-500万元，收取1.1%；500-1000万元，收取0.8%，1000-5000万元，收取0.5%）。</w:t>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七、投标保证金：本项目不收取投标保证金。</w:t>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pStyle w:val="898"/>
        <w:ind w:firstLine="420"/>
        <w:spacing w:line="360" w:lineRule="auto"/>
        <w:rPr>
          <w:rFonts w:hint="eastAsia"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hint="eastAsia" w:ascii="宋体" w:hAnsi="宋体"/>
          <w:sz w:val="24"/>
          <w:szCs w:val="24"/>
        </w:rPr>
      </w:r>
      <w:r/>
    </w:p>
    <w:p>
      <w:pPr>
        <w:pStyle w:val="898"/>
        <w:ind w:firstLine="482"/>
        <w:spacing w:line="360" w:lineRule="auto"/>
        <w:rPr>
          <w:rFonts w:ascii="宋体" w:hAnsi="宋体"/>
          <w:b/>
          <w:bCs/>
          <w:sz w:val="24"/>
          <w:szCs w:val="24"/>
        </w:rPr>
      </w:pPr>
      <w:r>
        <w:rPr>
          <w:rFonts w:hint="eastAsia" w:ascii="宋体" w:hAnsi="宋体"/>
          <w:b/>
          <w:bCs/>
          <w:sz w:val="24"/>
          <w:szCs w:val="24"/>
        </w:rPr>
        <w:t xml:space="preserve">十、联系事项</w:t>
      </w:r>
      <w:r>
        <w:rPr>
          <w:rFonts w:ascii="宋体" w:hAnsi="宋体"/>
          <w:b/>
          <w:bCs/>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1.甲方（采购方）：昆山市中医医院</w:t>
      </w:r>
      <w:r/>
    </w:p>
    <w:p>
      <w:pPr>
        <w:pStyle w:val="898"/>
        <w:ind w:firstLine="420"/>
        <w:spacing w:line="360" w:lineRule="auto"/>
        <w:rPr>
          <w:rFonts w:hint="eastAsia" w:ascii="宋体" w:hAnsi="宋体"/>
          <w:sz w:val="24"/>
          <w:szCs w:val="24"/>
        </w:rPr>
      </w:pPr>
      <w:r>
        <w:rPr>
          <w:rFonts w:hint="eastAsia" w:ascii="宋体" w:hAnsi="宋体"/>
          <w:sz w:val="24"/>
          <w:szCs w:val="24"/>
        </w:rPr>
        <w:t xml:space="preserve">联系人：盛怡茗     联系电话：0512-50260205    </w:t>
      </w:r>
      <w:r/>
    </w:p>
    <w:p>
      <w:pPr>
        <w:pStyle w:val="898"/>
        <w:ind w:firstLine="420"/>
        <w:spacing w:line="360" w:lineRule="auto"/>
        <w:rPr>
          <w:rFonts w:hint="eastAsia" w:ascii="宋体" w:hAnsi="宋体"/>
          <w:sz w:val="24"/>
          <w:szCs w:val="24"/>
        </w:rPr>
      </w:pPr>
      <w:r>
        <w:rPr>
          <w:rFonts w:hint="eastAsia" w:ascii="宋体" w:hAnsi="宋体"/>
          <w:sz w:val="24"/>
          <w:szCs w:val="24"/>
        </w:rPr>
        <w:t xml:space="preserve">2.招标代理人（机构）：</w:t>
      </w:r>
      <w:r>
        <w:rPr>
          <w:rFonts w:hint="eastAsia" w:ascii="宋体" w:hAnsi="宋体"/>
          <w:sz w:val="24"/>
          <w:szCs w:val="24"/>
        </w:rPr>
        <w:t xml:space="preserve">昆山新忠健项目管理有限公司</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地址：昆山市前进西路1468号泰和国际12F </w:t>
      </w:r>
      <w:r/>
    </w:p>
    <w:p>
      <w:pPr>
        <w:pStyle w:val="898"/>
        <w:ind w:firstLine="420"/>
        <w:spacing w:line="360" w:lineRule="auto"/>
        <w:rPr>
          <w:rFonts w:hint="eastAsia" w:ascii="宋体" w:hAnsi="宋体"/>
          <w:sz w:val="24"/>
          <w:szCs w:val="24"/>
        </w:rPr>
      </w:pPr>
      <w:r>
        <w:rPr>
          <w:rFonts w:hint="eastAsia" w:ascii="宋体" w:hAnsi="宋体"/>
          <w:sz w:val="24"/>
          <w:szCs w:val="24"/>
        </w:rPr>
        <w:t xml:space="preserve">电话：0512-55210560 </w:t>
      </w:r>
      <w:r/>
    </w:p>
    <w:p>
      <w:pPr>
        <w:pStyle w:val="898"/>
        <w:ind w:firstLine="420"/>
        <w:spacing w:line="360" w:lineRule="auto"/>
        <w:rPr>
          <w:rFonts w:hint="eastAsia" w:ascii="宋体" w:hAnsi="宋体"/>
          <w:sz w:val="24"/>
          <w:szCs w:val="24"/>
        </w:rPr>
      </w:pPr>
      <w:r>
        <w:rPr>
          <w:rFonts w:hint="eastAsia" w:ascii="宋体" w:hAnsi="宋体"/>
          <w:sz w:val="24"/>
          <w:szCs w:val="24"/>
        </w:rPr>
        <w:t xml:space="preserve">联系人：金丽丽、王女容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3.昆山市政府采购监督电话：0512-57310854</w:t>
      </w:r>
      <w:r/>
    </w:p>
    <w:p>
      <w:pPr>
        <w:pStyle w:val="898"/>
        <w:ind w:firstLine="420"/>
        <w:spacing w:line="360" w:lineRule="auto"/>
        <w:rPr>
          <w:rFonts w:hint="eastAsia" w:ascii="宋体" w:hAnsi="宋体"/>
          <w:sz w:val="24"/>
          <w:szCs w:val="24"/>
        </w:rPr>
      </w:pPr>
      <w:r>
        <w:rPr>
          <w:rFonts w:hint="eastAsia" w:ascii="宋体" w:hAnsi="宋体"/>
          <w:sz w:val="24"/>
          <w:szCs w:val="24"/>
        </w:rPr>
        <w:t xml:space="preserve">十一、其他</w:t>
      </w:r>
      <w:r/>
    </w:p>
    <w:p>
      <w:pPr>
        <w:pStyle w:val="898"/>
        <w:ind w:firstLine="420"/>
        <w:jc w:val="left"/>
        <w:spacing w:line="360" w:lineRule="auto"/>
        <w:rPr>
          <w:rFonts w:ascii="宋体" w:hAnsi="宋体"/>
          <w:sz w:val="24"/>
          <w:szCs w:val="24"/>
        </w:rPr>
      </w:pPr>
      <w:r>
        <w:rPr>
          <w:rFonts w:hint="eastAsia" w:ascii="宋体" w:hAnsi="宋体"/>
          <w:sz w:val="24"/>
          <w:szCs w:val="24"/>
        </w:rPr>
        <w:t xml:space="preserve">1.CA证书办理</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苏州现场办理地址：苏州市高新区邓尉路105号狮山科技馆一楼服务大厅,咨询电话：0512-</w:t>
      </w:r>
      <w:r>
        <w:rPr>
          <w:rFonts w:ascii="宋体" w:hAnsi="宋体"/>
          <w:b/>
          <w:sz w:val="24"/>
          <w:szCs w:val="24"/>
        </w:rPr>
        <w:t xml:space="preserve">65737699</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2.参与采购活动</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3.电子投标准备</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rPr>
          <w:rFonts w:ascii="宋体" w:hAnsi="宋体"/>
          <w:sz w:val="24"/>
          <w:szCs w:val="24"/>
        </w:rPr>
      </w:r>
      <w:r/>
    </w:p>
    <w:p>
      <w:pPr>
        <w:pStyle w:val="898"/>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rPr>
          <w:rFonts w:ascii="宋体" w:hAnsi="宋体"/>
          <w:sz w:val="24"/>
          <w:szCs w:val="24"/>
        </w:rPr>
      </w:r>
      <w:r/>
    </w:p>
    <w:p>
      <w:pPr>
        <w:pStyle w:val="899"/>
        <w:numPr>
          <w:ilvl w:val="0"/>
          <w:numId w:val="9"/>
        </w:numPr>
        <w:spacing w:line="360" w:lineRule="auto"/>
        <w:tabs>
          <w:tab w:val="left" w:pos="405" w:leader="none"/>
          <w:tab w:val="left" w:pos="420" w:leader="none"/>
        </w:tabs>
        <w:rPr>
          <w:rFonts w:hint="eastAsia" w:ascii="宋体" w:hAnsi="宋体"/>
          <w:b/>
        </w:rPr>
      </w:pPr>
      <w:r/>
      <w:bookmarkStart w:id="2" w:name="_Toc161591366"/>
      <w:r>
        <w:rPr>
          <w:rFonts w:hint="eastAsia" w:ascii="宋体" w:hAnsi="宋体"/>
          <w:b/>
        </w:rPr>
        <w:t xml:space="preserve">响应人须知</w:t>
      </w:r>
      <w:bookmarkEnd w:id="2"/>
      <w:r>
        <w:rPr>
          <w:rFonts w:hint="eastAsia" w:ascii="宋体" w:hAnsi="宋体"/>
          <w:b/>
        </w:rPr>
      </w:r>
      <w:r/>
    </w:p>
    <w:p>
      <w:pPr>
        <w:pStyle w:val="898"/>
        <w:ind w:firstLine="420"/>
        <w:spacing w:line="360" w:lineRule="auto"/>
        <w:rPr>
          <w:rFonts w:hint="eastAsia" w:ascii="宋体" w:hAnsi="宋体"/>
          <w:b/>
          <w:sz w:val="24"/>
          <w:szCs w:val="24"/>
        </w:rPr>
      </w:pPr>
      <w:r/>
      <w:bookmarkStart w:id="3" w:name="_Toc16938519"/>
      <w:r/>
      <w:bookmarkStart w:id="4" w:name="_Toc513029203"/>
      <w:r/>
      <w:bookmarkStart w:id="5" w:name="_Toc20823275"/>
      <w:r/>
      <w:bookmarkStart w:id="6" w:name="_Toc120614214"/>
      <w:r/>
      <w:bookmarkStart w:id="7" w:name="_Toc339548795"/>
      <w:r/>
      <w:bookmarkStart w:id="8" w:name="_Toc339563486"/>
      <w:r/>
      <w:bookmarkStart w:id="9" w:name="_Toc196471478"/>
      <w:r/>
      <w:bookmarkStart w:id="10" w:name="_Toc336415025"/>
      <w:r>
        <w:rPr>
          <w:rFonts w:hint="eastAsia" w:ascii="宋体" w:hAnsi="宋体"/>
          <w:b/>
          <w:sz w:val="24"/>
          <w:szCs w:val="24"/>
        </w:rPr>
        <w:t xml:space="preserve">一、总则</w:t>
      </w:r>
      <w:bookmarkEnd w:id="3"/>
      <w:r/>
      <w:bookmarkEnd w:id="4"/>
      <w:r/>
      <w:bookmarkEnd w:id="5"/>
      <w:r/>
      <w:bookmarkEnd w:id="6"/>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sz w:val="24"/>
          <w:szCs w:val="24"/>
        </w:rPr>
        <w:t xml:space="preserve">1</w:t>
      </w:r>
      <w:bookmarkEnd w:id="12"/>
      <w:r>
        <w:rPr>
          <w:rFonts w:hint="eastAsia" w:ascii="宋体" w:hAnsi="宋体"/>
          <w:sz w:val="24"/>
          <w:szCs w:val="24"/>
        </w:rPr>
        <w:t xml:space="preserve">.</w:t>
      </w:r>
      <w:r>
        <w:rPr>
          <w:rFonts w:hint="eastAsia" w:ascii="宋体" w:hAnsi="宋体"/>
          <w:sz w:val="24"/>
          <w:szCs w:val="24"/>
        </w:rPr>
        <w:t xml:space="preserve">采购方式</w:t>
      </w:r>
      <w:bookmarkEnd w:id="13"/>
      <w:r/>
      <w:bookmarkEnd w:id="14"/>
      <w:r/>
      <w:bookmarkEnd w:id="15"/>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pStyle w:val="898"/>
        <w:ind w:firstLine="420"/>
        <w:spacing w:line="360" w:lineRule="auto"/>
        <w:rPr>
          <w:rFonts w:hint="eastAsia" w:ascii="宋体" w:hAnsi="宋体"/>
          <w:sz w:val="24"/>
          <w:szCs w:val="24"/>
        </w:rPr>
      </w:pPr>
      <w:r/>
      <w:bookmarkStart w:id="16" w:name="_Toc20823277"/>
      <w:r/>
      <w:bookmarkStart w:id="17" w:name="_Toc513029205"/>
      <w:r/>
      <w:bookmarkStart w:id="18" w:name="_Toc16938521"/>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合格的</w:t>
      </w:r>
      <w:bookmarkEnd w:id="16"/>
      <w:r/>
      <w:bookmarkEnd w:id="17"/>
      <w:r/>
      <w:bookmarkEnd w:id="18"/>
      <w:r>
        <w:rPr>
          <w:rFonts w:hint="eastAsia" w:ascii="宋体" w:hAnsi="宋体"/>
          <w:sz w:val="24"/>
          <w:szCs w:val="24"/>
        </w:rPr>
        <w:t xml:space="preserve">供应商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2.1满足谈判公告中供应商资格要求的规定。</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898"/>
        <w:ind w:firstLine="420"/>
        <w:spacing w:line="360" w:lineRule="auto"/>
        <w:rPr>
          <w:rFonts w:hint="eastAsia" w:ascii="宋体" w:hAnsi="宋体"/>
          <w:sz w:val="24"/>
          <w:szCs w:val="24"/>
        </w:rPr>
      </w:pPr>
      <w:r/>
      <w:bookmarkStart w:id="19" w:name="_Toc513029206"/>
      <w:r/>
      <w:bookmarkStart w:id="20" w:name="_Toc20823278"/>
      <w:r/>
      <w:bookmarkStart w:id="21" w:name="_Toc16938522"/>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适用法律</w:t>
      </w:r>
      <w:bookmarkEnd w:id="19"/>
      <w:r/>
      <w:bookmarkEnd w:id="20"/>
      <w:r/>
      <w:bookmarkEnd w:id="21"/>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3.1 本次谈判及由此产生的合同受中华人民共和国有关的法律法规制约和保护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rPr>
        <w:t xml:space="preserve">昆山新忠健项目管理有限公司</w:t>
      </w:r>
      <w:r>
        <w:rPr>
          <w:rFonts w:hint="eastAsia" w:ascii="宋体" w:hAnsi="宋体"/>
          <w:sz w:val="24"/>
          <w:szCs w:val="24"/>
        </w:rPr>
        <w:t xml:space="preserve">。</w:t>
      </w:r>
      <w:r>
        <w:rPr>
          <w:rFonts w:ascii="宋体" w:hAnsi="宋体"/>
          <w:sz w:val="24"/>
          <w:szCs w:val="24"/>
        </w:rPr>
      </w:r>
      <w:r/>
    </w:p>
    <w:p>
      <w:pPr>
        <w:pStyle w:val="898"/>
        <w:ind w:firstLine="420"/>
        <w:spacing w:line="360" w:lineRule="auto"/>
        <w:rPr>
          <w:rFonts w:hint="eastAsia" w:ascii="宋体" w:hAnsi="宋体"/>
          <w:sz w:val="24"/>
          <w:szCs w:val="24"/>
        </w:rPr>
      </w:pPr>
      <w:r/>
      <w:bookmarkStart w:id="22" w:name="_Toc16938523"/>
      <w:r/>
      <w:bookmarkStart w:id="23" w:name="_Toc462564067"/>
      <w:r/>
      <w:bookmarkStart w:id="24" w:name="_Toc20823279"/>
      <w:r/>
      <w:bookmarkStart w:id="25" w:name="_Toc513029207"/>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谈判费用</w:t>
      </w:r>
      <w:bookmarkEnd w:id="22"/>
      <w:r/>
      <w:bookmarkEnd w:id="23"/>
      <w:r/>
      <w:bookmarkEnd w:id="24"/>
      <w:r/>
      <w:bookmarkEnd w:id="25"/>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本次谈判成交服务费向成交单位收取，以差额定率累进计算法收费（按预算金额100万元以下，收取1.5%；100-500万元，收取1.1%；500-1000万元，收取0.8%，1000-5000万元，收取0.5%）。</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谈判文件的约束力</w:t>
      </w:r>
      <w:r/>
    </w:p>
    <w:p>
      <w:pPr>
        <w:pStyle w:val="898"/>
        <w:ind w:firstLine="420"/>
        <w:spacing w:line="360" w:lineRule="auto"/>
        <w:rPr>
          <w:rFonts w:hint="eastAsia"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pStyle w:val="898"/>
        <w:ind w:firstLine="420"/>
        <w:spacing w:line="360" w:lineRule="auto"/>
        <w:rPr>
          <w:rFonts w:hint="eastAsia" w:ascii="宋体" w:hAnsi="宋体"/>
          <w:b/>
          <w:sz w:val="24"/>
          <w:szCs w:val="24"/>
        </w:rPr>
      </w:pPr>
      <w:r/>
      <w:bookmarkStart w:id="26" w:name="_Toc16938525"/>
      <w:r/>
      <w:bookmarkStart w:id="27" w:name="_Toc513029209"/>
      <w:r/>
      <w:bookmarkStart w:id="28" w:name="_Toc20823281"/>
      <w:r/>
      <w:bookmarkStart w:id="29" w:name="_Toc12061421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pStyle w:val="898"/>
        <w:ind w:firstLine="420"/>
        <w:spacing w:line="360" w:lineRule="auto"/>
        <w:rPr>
          <w:rFonts w:hint="eastAsia" w:ascii="宋体" w:hAnsi="宋体"/>
          <w:sz w:val="24"/>
          <w:szCs w:val="24"/>
        </w:rPr>
      </w:pPr>
      <w:r/>
      <w:bookmarkStart w:id="30" w:name="_Toc513029210"/>
      <w:r/>
      <w:bookmarkStart w:id="31" w:name="_Toc16938526"/>
      <w:r/>
      <w:bookmarkStart w:id="32" w:name="_Toc20823282"/>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谈判文件构成</w:t>
      </w:r>
      <w:bookmarkEnd w:id="30"/>
      <w:r/>
      <w:bookmarkEnd w:id="31"/>
      <w:r/>
      <w:bookmarkEnd w:id="32"/>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6.1谈判文件由以下部分组成：</w:t>
      </w:r>
      <w:r/>
    </w:p>
    <w:p>
      <w:pPr>
        <w:pStyle w:val="898"/>
        <w:ind w:firstLine="420"/>
        <w:spacing w:line="360" w:lineRule="auto"/>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（2）供应商须知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（3）合同文本</w:t>
      </w:r>
      <w:r/>
    </w:p>
    <w:p>
      <w:pPr>
        <w:pStyle w:val="898"/>
        <w:ind w:firstLine="420"/>
        <w:spacing w:line="360" w:lineRule="auto"/>
        <w:rPr>
          <w:rFonts w:hint="eastAsia" w:ascii="宋体" w:hAnsi="宋体"/>
          <w:sz w:val="24"/>
          <w:szCs w:val="24"/>
        </w:rPr>
      </w:pPr>
      <w:r>
        <w:rPr>
          <w:rFonts w:hint="eastAsia" w:ascii="宋体" w:hAnsi="宋体"/>
          <w:sz w:val="24"/>
          <w:szCs w:val="24"/>
        </w:rPr>
        <w:t xml:space="preserve">（4）谈判内容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（5）评审方法与评审标准</w:t>
      </w:r>
      <w:r/>
    </w:p>
    <w:p>
      <w:pPr>
        <w:pStyle w:val="898"/>
        <w:ind w:firstLine="420"/>
        <w:spacing w:line="360" w:lineRule="auto"/>
        <w:rPr>
          <w:rFonts w:hint="eastAsia" w:ascii="宋体" w:hAnsi="宋体"/>
          <w:sz w:val="24"/>
          <w:szCs w:val="24"/>
        </w:rPr>
      </w:pPr>
      <w:r>
        <w:rPr>
          <w:rFonts w:hint="eastAsia" w:ascii="宋体" w:hAnsi="宋体"/>
          <w:sz w:val="24"/>
          <w:szCs w:val="24"/>
        </w:rPr>
        <w:t xml:space="preserve">（6）附件格式</w:t>
      </w:r>
      <w:r/>
    </w:p>
    <w:p>
      <w:pPr>
        <w:pStyle w:val="898"/>
        <w:ind w:firstLine="420"/>
        <w:spacing w:line="360" w:lineRule="auto"/>
        <w:rPr>
          <w:rFonts w:hint="eastAsia"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98"/>
        <w:ind w:firstLine="420"/>
        <w:spacing w:line="360" w:lineRule="auto"/>
        <w:rPr>
          <w:rFonts w:hint="eastAsia" w:ascii="宋体" w:hAnsi="宋体"/>
          <w:sz w:val="24"/>
          <w:szCs w:val="24"/>
        </w:rPr>
      </w:pPr>
      <w:r/>
      <w:bookmarkStart w:id="33" w:name="_Toc16938527"/>
      <w:r/>
      <w:bookmarkStart w:id="34" w:name="_Toc462564070"/>
      <w:r/>
      <w:bookmarkStart w:id="35" w:name="_Toc20823283"/>
      <w:r/>
      <w:bookmarkStart w:id="36" w:name="_Toc513029211"/>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谈判文件的澄清</w:t>
      </w:r>
      <w:bookmarkEnd w:id="33"/>
      <w:r/>
      <w:bookmarkEnd w:id="34"/>
      <w:r/>
      <w:bookmarkEnd w:id="35"/>
      <w:r/>
      <w:bookmarkEnd w:id="36"/>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7.1 任何要求对谈判文件进行澄清的供应商，应在谈判截止期5日前按谈判公告中的通讯地址，以书面形式通知采购人或代理机构。</w:t>
      </w:r>
      <w:r/>
    </w:p>
    <w:p>
      <w:pPr>
        <w:pStyle w:val="898"/>
        <w:ind w:firstLine="420"/>
        <w:spacing w:line="360" w:lineRule="auto"/>
        <w:rPr>
          <w:rFonts w:hint="eastAsia" w:ascii="宋体" w:hAnsi="宋体"/>
          <w:sz w:val="24"/>
          <w:szCs w:val="24"/>
        </w:rPr>
      </w:pPr>
      <w:r/>
      <w:bookmarkStart w:id="37" w:name="_Toc20823284"/>
      <w:r/>
      <w:bookmarkStart w:id="38" w:name="_Toc513029212"/>
      <w:r/>
      <w:bookmarkStart w:id="39" w:name="_Toc16938528"/>
      <w:r/>
      <w:bookmarkStart w:id="40" w:name="_Toc462564071"/>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谈判文件的澄清和修改</w:t>
      </w:r>
      <w:bookmarkEnd w:id="37"/>
      <w:r/>
      <w:bookmarkEnd w:id="38"/>
      <w:r/>
      <w:bookmarkEnd w:id="39"/>
      <w:r/>
      <w:bookmarkEnd w:id="40"/>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8.1 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 更正公告内容将作为谈判文件的组成部分，并对供应商具有约束力。</w:t>
      </w:r>
      <w:r/>
    </w:p>
    <w:p>
      <w:pPr>
        <w:pStyle w:val="898"/>
        <w:ind w:firstLine="420"/>
        <w:spacing w:line="360" w:lineRule="auto"/>
        <w:rPr>
          <w:rFonts w:hint="eastAsia" w:ascii="宋体" w:hAnsi="宋体"/>
          <w:sz w:val="24"/>
          <w:szCs w:val="24"/>
        </w:rPr>
      </w:pPr>
      <w:r/>
      <w:bookmarkStart w:id="41" w:name="_Toc20823285"/>
      <w:r/>
      <w:bookmarkStart w:id="42" w:name="_Toc120614216"/>
      <w:r/>
      <w:bookmarkStart w:id="43" w:name="_Toc16938529"/>
      <w:r/>
      <w:bookmarkStart w:id="44" w:name="_Toc462564072"/>
      <w:r/>
      <w:bookmarkStart w:id="45" w:name="_Toc513029213"/>
      <w:r>
        <w:rPr>
          <w:rFonts w:hint="eastAsia" w:ascii="宋体" w:hAnsi="宋体"/>
          <w:sz w:val="24"/>
          <w:szCs w:val="24"/>
        </w:rPr>
        <w:t xml:space="preserve">三、响应文件的编制</w:t>
      </w:r>
      <w:bookmarkEnd w:id="41"/>
      <w:r/>
      <w:bookmarkEnd w:id="42"/>
      <w:r/>
      <w:bookmarkEnd w:id="43"/>
      <w:r/>
      <w:bookmarkEnd w:id="44"/>
      <w:r/>
      <w:bookmarkEnd w:id="45"/>
      <w:r>
        <w:rPr>
          <w:rFonts w:hint="eastAsia" w:ascii="宋体" w:hAnsi="宋体"/>
          <w:sz w:val="24"/>
          <w:szCs w:val="24"/>
        </w:rPr>
      </w:r>
      <w:r/>
    </w:p>
    <w:p>
      <w:pPr>
        <w:pStyle w:val="898"/>
        <w:ind w:firstLine="420"/>
        <w:spacing w:line="360" w:lineRule="auto"/>
        <w:rPr>
          <w:rFonts w:hint="eastAsia" w:ascii="宋体" w:hAnsi="宋体"/>
          <w:sz w:val="24"/>
          <w:szCs w:val="24"/>
        </w:rPr>
      </w:pPr>
      <w:r/>
      <w:bookmarkStart w:id="46" w:name="_Toc513029214"/>
      <w:r/>
      <w:bookmarkStart w:id="47" w:name="_Toc462564073"/>
      <w:r/>
      <w:bookmarkStart w:id="48" w:name="_Toc16938530"/>
      <w:r/>
      <w:bookmarkStart w:id="49" w:name="_Toc20823286"/>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响应文件的语言及度量衡单位</w:t>
      </w:r>
      <w:bookmarkEnd w:id="46"/>
      <w:r/>
      <w:bookmarkEnd w:id="47"/>
      <w:r/>
      <w:bookmarkEnd w:id="48"/>
      <w:r/>
      <w:bookmarkEnd w:id="49"/>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9.2 除技术性能另有规定外，响应文件所使用的度量衡单位，均须采用国家法定计量单位。</w:t>
      </w:r>
      <w:r/>
    </w:p>
    <w:p>
      <w:pPr>
        <w:pStyle w:val="898"/>
        <w:ind w:firstLine="420"/>
        <w:spacing w:line="360" w:lineRule="auto"/>
        <w:rPr>
          <w:rFonts w:ascii="宋体" w:hAnsi="宋体"/>
          <w:b/>
          <w:sz w:val="24"/>
          <w:szCs w:val="24"/>
        </w:rPr>
      </w:pPr>
      <w:r>
        <w:rPr>
          <w:rFonts w:hint="eastAsia" w:ascii="宋体" w:hAnsi="宋体"/>
          <w:b/>
          <w:sz w:val="24"/>
          <w:szCs w:val="24"/>
        </w:rPr>
        <w:t xml:space="preserve">10.响应文件的组成</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10.1封面</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10.1.1开标</w:t>
      </w:r>
      <w:r>
        <w:rPr>
          <w:rFonts w:ascii="宋体" w:hAnsi="宋体"/>
          <w:b/>
          <w:sz w:val="24"/>
          <w:szCs w:val="24"/>
        </w:rPr>
        <w:t xml:space="preserve">一览表</w:t>
      </w:r>
      <w:r>
        <w:rPr>
          <w:rFonts w:hint="eastAsia"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10.1.2谈判报价分析表（格式见第六章）</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10.1.3资格审查</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rPr>
          <w:rFonts w:hint="eastAsia" w:ascii="宋体" w:hAnsi="宋体"/>
          <w:b/>
          <w:sz w:val="24"/>
          <w:szCs w:val="24"/>
        </w:rPr>
      </w:r>
      <w:r/>
    </w:p>
    <w:p>
      <w:pPr>
        <w:pStyle w:val="898"/>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rPr>
          <w:rFonts w:ascii="宋体" w:hAnsi="宋体"/>
          <w:b/>
          <w:sz w:val="24"/>
        </w:rPr>
      </w:r>
      <w:r/>
    </w:p>
    <w:p>
      <w:pPr>
        <w:pStyle w:val="898"/>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rPr>
          <w:rFonts w:ascii="宋体" w:hAnsi="宋体"/>
          <w:b/>
          <w:sz w:val="24"/>
        </w:rPr>
      </w:r>
      <w:r/>
    </w:p>
    <w:p>
      <w:pPr>
        <w:pStyle w:val="898"/>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pStyle w:val="898"/>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rPr>
          <w:rFonts w:ascii="宋体" w:hAnsi="宋体"/>
          <w:b/>
          <w:sz w:val="24"/>
        </w:rPr>
      </w:r>
      <w:r/>
    </w:p>
    <w:p>
      <w:pPr>
        <w:pStyle w:val="898"/>
        <w:ind w:firstLine="420"/>
        <w:spacing w:line="360" w:lineRule="auto"/>
        <w:rPr>
          <w:rFonts w:hint="eastAsia"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pStyle w:val="898"/>
        <w:ind w:firstLine="420"/>
        <w:spacing w:line="360" w:lineRule="auto"/>
        <w:rPr>
          <w:rFonts w:ascii="宋体" w:hAnsi="宋体"/>
          <w:b/>
          <w:sz w:val="24"/>
        </w:rPr>
      </w:pPr>
      <w:r>
        <w:rPr>
          <w:rFonts w:hint="eastAsia" w:ascii="宋体" w:hAnsi="宋体"/>
          <w:b/>
          <w:sz w:val="24"/>
        </w:rPr>
        <w:t xml:space="preserve">（6）法律、行政法规规定的其他条件。</w:t>
      </w:r>
      <w:r>
        <w:rPr>
          <w:rFonts w:ascii="宋体" w:hAnsi="宋体"/>
          <w:b/>
          <w:sz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10.1.3.2未被“信用中国”网站（www.creditchina.gov.cn）列入失信被执行人、重大税收违法案件当事人名单、政府采购严重失信行为记录名单。</w:t>
      </w:r>
      <w:r/>
    </w:p>
    <w:p>
      <w:pPr>
        <w:pStyle w:val="898"/>
        <w:ind w:firstLine="426"/>
        <w:spacing w:line="360" w:lineRule="auto"/>
        <w:rPr>
          <w:rFonts w:hint="eastAsia" w:ascii="宋体" w:hAnsi="宋体"/>
          <w:b/>
          <w:sz w:val="24"/>
          <w:szCs w:val="24"/>
        </w:rPr>
      </w:pPr>
      <w:r>
        <w:rPr>
          <w:rFonts w:hint="eastAsia" w:ascii="宋体" w:hAnsi="宋体"/>
          <w:b/>
          <w:sz w:val="24"/>
          <w:szCs w:val="24"/>
        </w:rPr>
        <w:t xml:space="preserve">10.1.3.3相关部门核发的《保险许可证》复印件。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10.1.4符合性审查</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10.1.4.1关于响应文件的声明函；</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10.1.4.2偏离表；</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10.1.4.3供应商情况表（格式见第六章）；</w:t>
      </w:r>
      <w:r/>
    </w:p>
    <w:p>
      <w:pPr>
        <w:pStyle w:val="898"/>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10.1.5</w:t>
      </w:r>
      <w:r>
        <w:rPr>
          <w:rFonts w:ascii="宋体" w:hAnsi="宋体"/>
          <w:b/>
          <w:sz w:val="24"/>
          <w:szCs w:val="24"/>
        </w:rPr>
        <w:t xml:space="preserve">项目人员配置表</w:t>
      </w:r>
      <w:r>
        <w:rPr>
          <w:rFonts w:hint="eastAsia" w:ascii="宋体" w:hAnsi="宋体"/>
          <w:b/>
          <w:sz w:val="24"/>
          <w:szCs w:val="24"/>
        </w:rPr>
        <w:t xml:space="preserve">（格式见第六章）；</w:t>
      </w:r>
      <w:r/>
    </w:p>
    <w:p>
      <w:pPr>
        <w:pStyle w:val="898"/>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6</w:t>
      </w:r>
      <w:r>
        <w:rPr>
          <w:rFonts w:hint="eastAsia" w:ascii="宋体" w:hAnsi="宋体"/>
          <w:b/>
          <w:sz w:val="24"/>
          <w:szCs w:val="24"/>
        </w:rPr>
        <w:t xml:space="preserve">中小企业文件证明材料</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(3)监狱企业证明文件。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7</w:t>
      </w:r>
      <w:r>
        <w:rPr>
          <w:rFonts w:hint="eastAsia" w:ascii="宋体" w:hAnsi="宋体"/>
          <w:b/>
          <w:sz w:val="24"/>
          <w:szCs w:val="24"/>
        </w:rPr>
        <w:t xml:space="preserve">谈判文件要求递交其他文件。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w:t>
      </w:r>
      <w:r>
        <w:rPr>
          <w:rFonts w:hint="eastAsia" w:ascii="宋体" w:hAnsi="宋体"/>
          <w:b/>
          <w:sz w:val="24"/>
          <w:szCs w:val="24"/>
        </w:rPr>
        <w:t xml:space="preserve">5</w:t>
      </w:r>
      <w:r>
        <w:rPr>
          <w:rFonts w:hint="eastAsia" w:ascii="宋体" w:hAnsi="宋体"/>
          <w:b/>
          <w:sz w:val="24"/>
          <w:szCs w:val="24"/>
        </w:rPr>
        <w:t xml:space="preserve">资料不可缺少，否则，将被认定为未实质性响应谈判文件要求。</w:t>
      </w:r>
      <w:r/>
    </w:p>
    <w:p>
      <w:pPr>
        <w:pStyle w:val="898"/>
        <w:ind w:firstLine="420"/>
        <w:spacing w:line="360" w:lineRule="auto"/>
        <w:rPr>
          <w:rFonts w:ascii="宋体" w:hAnsi="宋体"/>
          <w:sz w:val="24"/>
          <w:szCs w:val="24"/>
        </w:rPr>
      </w:pPr>
      <w:r>
        <w:rPr>
          <w:rFonts w:hint="eastAsia" w:ascii="宋体" w:hAnsi="宋体"/>
          <w:sz w:val="24"/>
          <w:szCs w:val="24"/>
        </w:rPr>
        <w:t xml:space="preserve">11.响应文件的有效期</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pStyle w:val="898"/>
        <w:ind w:firstLine="420"/>
        <w:spacing w:line="360" w:lineRule="auto"/>
        <w:rPr>
          <w:rFonts w:hint="eastAsia" w:ascii="宋体" w:hAnsi="宋体"/>
          <w:sz w:val="24"/>
          <w:szCs w:val="24"/>
        </w:rPr>
      </w:pPr>
      <w:r>
        <w:rPr>
          <w:rFonts w:hint="eastAsia" w:ascii="宋体" w:hAnsi="宋体"/>
          <w:sz w:val="24"/>
          <w:szCs w:val="24"/>
        </w:rPr>
        <w:t xml:space="preserve">12.谈判有效期的延长</w:t>
      </w:r>
      <w:r/>
    </w:p>
    <w:p>
      <w:pPr>
        <w:pStyle w:val="898"/>
        <w:ind w:firstLine="420"/>
        <w:spacing w:line="360" w:lineRule="auto"/>
        <w:rPr>
          <w:rFonts w:hint="eastAsia"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pStyle w:val="898"/>
        <w:ind w:firstLine="420"/>
        <w:spacing w:line="360" w:lineRule="auto"/>
        <w:rPr>
          <w:rFonts w:hint="eastAsia" w:ascii="宋体" w:hAnsi="宋体"/>
          <w:b/>
          <w:sz w:val="24"/>
          <w:szCs w:val="24"/>
        </w:rPr>
      </w:pPr>
      <w:r/>
      <w:bookmarkStart w:id="50" w:name="_Toc120614217"/>
      <w:r/>
      <w:bookmarkStart w:id="51" w:name="_Toc513029224"/>
      <w:r/>
      <w:bookmarkStart w:id="52" w:name="_Toc16938540"/>
      <w:r/>
      <w:bookmarkStart w:id="53" w:name="_Toc20823296"/>
      <w:r>
        <w:rPr>
          <w:rFonts w:hint="eastAsia" w:ascii="宋体" w:hAnsi="宋体"/>
          <w:b/>
          <w:sz w:val="24"/>
          <w:szCs w:val="24"/>
        </w:rPr>
        <w:t xml:space="preserve">四、响应文件的递交</w:t>
      </w:r>
      <w:bookmarkEnd w:id="50"/>
      <w:r/>
      <w:bookmarkEnd w:id="51"/>
      <w:r/>
      <w:bookmarkEnd w:id="52"/>
      <w:r/>
      <w:bookmarkEnd w:id="53"/>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54" w:name="_Toc20823297"/>
      <w:r/>
      <w:bookmarkStart w:id="55" w:name="_Toc16938541"/>
      <w:r/>
      <w:bookmarkStart w:id="56" w:name="_Toc513029225"/>
      <w:r/>
      <w:bookmarkStart w:id="57" w:name="_Toc462564084"/>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电子谈判</w:t>
      </w:r>
      <w:bookmarkEnd w:id="54"/>
      <w:r/>
      <w:bookmarkEnd w:id="55"/>
      <w:r/>
      <w:bookmarkEnd w:id="56"/>
      <w:r/>
      <w:bookmarkEnd w:id="57"/>
      <w:r>
        <w:rPr>
          <w:rFonts w:hint="eastAsia" w:ascii="宋体" w:hAnsi="宋体"/>
          <w:sz w:val="24"/>
          <w:szCs w:val="24"/>
        </w:rPr>
        <w:t xml:space="preserve">响应文件的递交</w:t>
      </w:r>
      <w:r/>
    </w:p>
    <w:p>
      <w:pPr>
        <w:pStyle w:val="898"/>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513029226"/>
      <w:r/>
      <w:bookmarkStart w:id="60" w:name="_Toc16938542"/>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 xml:space="preserve">.</w:t>
      </w:r>
      <w:r>
        <w:rPr>
          <w:rFonts w:hint="eastAsia" w:ascii="宋体" w:hAnsi="宋体"/>
          <w:sz w:val="24"/>
          <w:szCs w:val="24"/>
        </w:rPr>
        <w:t xml:space="preserve">提交响应文件截止时间</w:t>
      </w:r>
      <w:bookmarkEnd w:id="58"/>
      <w:r/>
      <w:bookmarkEnd w:id="59"/>
      <w:r/>
      <w:bookmarkEnd w:id="60"/>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pStyle w:val="898"/>
        <w:ind w:firstLine="420"/>
        <w:spacing w:line="360" w:lineRule="auto"/>
        <w:rPr>
          <w:rFonts w:hint="eastAsia" w:ascii="宋体" w:hAnsi="宋体"/>
          <w:sz w:val="24"/>
          <w:szCs w:val="24"/>
        </w:rPr>
      </w:pPr>
      <w:r/>
      <w:bookmarkStart w:id="61" w:name="_Toc513029227"/>
      <w:r/>
      <w:bookmarkStart w:id="62" w:name="_Toc20823299"/>
      <w:r/>
      <w:bookmarkStart w:id="63" w:name="_Toc16938543"/>
      <w:r>
        <w:rPr>
          <w:rFonts w:hint="eastAsia" w:ascii="宋体" w:hAnsi="宋体"/>
          <w:sz w:val="24"/>
          <w:szCs w:val="24"/>
        </w:rPr>
        <w:t xml:space="preserve">15</w:t>
      </w:r>
      <w:r>
        <w:rPr>
          <w:rFonts w:hint="eastAsia" w:ascii="宋体" w:hAnsi="宋体"/>
          <w:sz w:val="24"/>
          <w:szCs w:val="24"/>
        </w:rPr>
        <w:t xml:space="preserve">.</w:t>
      </w:r>
      <w:r>
        <w:rPr>
          <w:rFonts w:hint="eastAsia" w:ascii="宋体" w:hAnsi="宋体"/>
          <w:sz w:val="24"/>
          <w:szCs w:val="24"/>
        </w:rPr>
        <w:t xml:space="preserve">响应文件</w:t>
      </w:r>
      <w:bookmarkEnd w:id="61"/>
      <w:r/>
      <w:bookmarkEnd w:id="62"/>
      <w:r/>
      <w:bookmarkEnd w:id="63"/>
      <w:r>
        <w:rPr>
          <w:rFonts w:hint="eastAsia" w:ascii="宋体" w:hAnsi="宋体"/>
          <w:sz w:val="24"/>
          <w:szCs w:val="24"/>
        </w:rPr>
        <w:t xml:space="preserve">的拒收</w:t>
      </w:r>
      <w:r/>
    </w:p>
    <w:p>
      <w:pPr>
        <w:pStyle w:val="898"/>
        <w:ind w:firstLine="420"/>
        <w:spacing w:line="360" w:lineRule="auto"/>
        <w:rPr>
          <w:rFonts w:hint="eastAsia" w:ascii="宋体" w:hAnsi="宋体"/>
          <w:sz w:val="24"/>
          <w:szCs w:val="24"/>
        </w:rPr>
      </w:pPr>
      <w:r>
        <w:rPr>
          <w:rFonts w:hint="eastAsia" w:ascii="宋体" w:hAnsi="宋体"/>
          <w:sz w:val="24"/>
          <w:szCs w:val="24"/>
        </w:rPr>
        <w:t xml:space="preserve">15.1 采购人（或采购代理机构）拒绝接收在其规定的提交响应文件截止时间后上传的任何电子响应文件。</w:t>
      </w:r>
      <w:r/>
    </w:p>
    <w:p>
      <w:pPr>
        <w:pStyle w:val="898"/>
        <w:ind w:firstLine="420"/>
        <w:spacing w:line="360" w:lineRule="auto"/>
        <w:rPr>
          <w:rFonts w:hint="eastAsia" w:ascii="宋体" w:hAnsi="宋体"/>
          <w:sz w:val="24"/>
          <w:szCs w:val="24"/>
        </w:rPr>
      </w:pPr>
      <w:r/>
      <w:bookmarkStart w:id="64" w:name="_Toc513029228"/>
      <w:r/>
      <w:bookmarkStart w:id="65" w:name="_Toc20823300"/>
      <w:r/>
      <w:bookmarkStart w:id="66" w:name="_Toc16938544"/>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rPr>
        <w:t xml:space="preserve">响应文件的撤回和修改</w:t>
      </w:r>
      <w:bookmarkEnd w:id="64"/>
      <w:r/>
      <w:bookmarkEnd w:id="65"/>
      <w:r/>
      <w:bookmarkEnd w:id="66"/>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16.1响应文件的撤回</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16.1.1电子响应文件的撤回</w:t>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16.2响应文件的修改</w:t>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pStyle w:val="898"/>
        <w:ind w:firstLine="420"/>
        <w:spacing w:line="360" w:lineRule="auto"/>
        <w:rPr>
          <w:rFonts w:hint="eastAsia" w:ascii="宋体" w:hAnsi="宋体"/>
          <w:b/>
          <w:sz w:val="24"/>
          <w:szCs w:val="24"/>
        </w:rPr>
      </w:pPr>
      <w:r/>
      <w:bookmarkStart w:id="67" w:name="_Toc513029229"/>
      <w:r/>
      <w:bookmarkStart w:id="68" w:name="_Toc20823301"/>
      <w:r/>
      <w:bookmarkStart w:id="69" w:name="_Toc16938545"/>
      <w:r/>
      <w:bookmarkStart w:id="70" w:name="_Toc120614218"/>
      <w:r>
        <w:rPr>
          <w:rFonts w:hint="eastAsia" w:ascii="宋体" w:hAnsi="宋体"/>
          <w:b/>
          <w:sz w:val="24"/>
          <w:szCs w:val="24"/>
        </w:rPr>
        <w:t xml:space="preserve">五、响应文件的解密与评审</w:t>
      </w:r>
      <w:bookmarkEnd w:id="67"/>
      <w:r/>
      <w:bookmarkEnd w:id="68"/>
      <w:r/>
      <w:bookmarkEnd w:id="69"/>
      <w:r/>
      <w:bookmarkEnd w:id="70"/>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71" w:name="_Toc16938546"/>
      <w:r/>
      <w:bookmarkStart w:id="72" w:name="_Toc20823302"/>
      <w:r/>
      <w:bookmarkStart w:id="73" w:name="_Toc513029230"/>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w:t>
      </w:r>
      <w:r>
        <w:rPr>
          <w:rFonts w:hint="eastAsia" w:ascii="宋体" w:hAnsi="宋体"/>
          <w:sz w:val="24"/>
          <w:szCs w:val="24"/>
        </w:rPr>
        <w:t xml:space="preserve">响应文件解密</w:t>
      </w:r>
      <w:r/>
    </w:p>
    <w:p>
      <w:pPr>
        <w:pStyle w:val="898"/>
        <w:ind w:firstLine="420"/>
        <w:spacing w:line="360" w:lineRule="auto"/>
        <w:rPr>
          <w:rFonts w:hint="eastAsia"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pStyle w:val="898"/>
        <w:ind w:firstLine="420"/>
        <w:spacing w:line="360" w:lineRule="auto"/>
        <w:rPr>
          <w:rFonts w:hint="eastAsia" w:ascii="宋体" w:hAnsi="宋体"/>
          <w:sz w:val="24"/>
          <w:szCs w:val="24"/>
        </w:rPr>
      </w:pPr>
      <w:r/>
      <w:bookmarkStart w:id="74" w:name="_Toc16938547"/>
      <w:r/>
      <w:bookmarkStart w:id="75" w:name="_Toc513029231"/>
      <w:r/>
      <w:bookmarkStart w:id="76" w:name="_Toc20823303"/>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rPr>
        <w:t xml:space="preserve">谈判小组</w:t>
      </w:r>
      <w:r/>
    </w:p>
    <w:p>
      <w:pPr>
        <w:pStyle w:val="898"/>
        <w:ind w:firstLine="420"/>
        <w:spacing w:line="360" w:lineRule="auto"/>
        <w:rPr>
          <w:rFonts w:hint="eastAsia"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pStyle w:val="898"/>
        <w:ind w:firstLine="420"/>
        <w:spacing w:line="360" w:lineRule="auto"/>
        <w:rPr>
          <w:rFonts w:hint="eastAsia" w:ascii="宋体" w:hAnsi="宋体"/>
          <w:sz w:val="24"/>
          <w:szCs w:val="24"/>
        </w:rPr>
      </w:pPr>
      <w:r>
        <w:rPr>
          <w:rFonts w:hint="eastAsia" w:ascii="宋体" w:hAnsi="宋体"/>
          <w:sz w:val="24"/>
          <w:szCs w:val="24"/>
        </w:rPr>
        <w:t xml:space="preserve">18.2谈判小组独立工作，负责评审所有响应文件并确定成交侯选人。</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w:t>
      </w:r>
      <w:r>
        <w:rPr>
          <w:rFonts w:hint="eastAsia" w:ascii="宋体" w:hAnsi="宋体"/>
          <w:sz w:val="24"/>
          <w:szCs w:val="24"/>
        </w:rPr>
        <w:t xml:space="preserve">评审过程的保密与公正</w:t>
      </w:r>
      <w:r/>
    </w:p>
    <w:p>
      <w:pPr>
        <w:pStyle w:val="898"/>
        <w:ind w:firstLine="420"/>
        <w:spacing w:line="360" w:lineRule="auto"/>
        <w:rPr>
          <w:rFonts w:hint="eastAsia" w:ascii="宋体" w:hAnsi="宋体"/>
          <w:sz w:val="24"/>
          <w:szCs w:val="24"/>
        </w:rPr>
      </w:pPr>
      <w:r/>
      <w:bookmarkEnd w:id="74"/>
      <w:r/>
      <w:bookmarkEnd w:id="75"/>
      <w:r/>
      <w:bookmarkEnd w:id="76"/>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pStyle w:val="898"/>
        <w:ind w:firstLine="420"/>
        <w:spacing w:line="360" w:lineRule="auto"/>
        <w:rPr>
          <w:rFonts w:hint="eastAsia" w:ascii="宋体" w:hAnsi="宋体"/>
          <w:sz w:val="24"/>
          <w:szCs w:val="24"/>
        </w:rPr>
      </w:pPr>
      <w:r/>
      <w:bookmarkStart w:id="77" w:name="_Toc20823304"/>
      <w:r/>
      <w:bookmarkStart w:id="78" w:name="_Toc513029232"/>
      <w:r/>
      <w:bookmarkStart w:id="79" w:name="_Toc16938548"/>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rPr>
        <w:t xml:space="preserve">评审过程中的的澄清</w:t>
      </w:r>
      <w:bookmarkEnd w:id="77"/>
      <w:r/>
      <w:bookmarkEnd w:id="78"/>
      <w:r/>
      <w:bookmarkEnd w:id="79"/>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谈判小组并非对每个供应商都作澄清要求。</w:t>
      </w:r>
      <w:r/>
    </w:p>
    <w:p>
      <w:pPr>
        <w:pStyle w:val="898"/>
        <w:ind w:firstLine="420"/>
        <w:spacing w:line="360" w:lineRule="auto"/>
        <w:rPr>
          <w:rFonts w:hint="eastAsia"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pStyle w:val="898"/>
        <w:ind w:firstLine="420"/>
        <w:spacing w:line="360" w:lineRule="auto"/>
        <w:rPr>
          <w:rFonts w:hint="eastAsia" w:ascii="宋体" w:hAnsi="宋体"/>
          <w:sz w:val="24"/>
          <w:szCs w:val="24"/>
        </w:rPr>
      </w:pPr>
      <w:r/>
      <w:bookmarkStart w:id="80" w:name="_Toc20823305"/>
      <w:r/>
      <w:bookmarkStart w:id="81" w:name="_Toc16938549"/>
      <w:r/>
      <w:bookmarkStart w:id="82" w:name="_Toc513029233"/>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rPr>
        <w:t xml:space="preserve">对响应文件的审</w:t>
      </w:r>
      <w:bookmarkEnd w:id="80"/>
      <w:r/>
      <w:bookmarkEnd w:id="81"/>
      <w:r/>
      <w:bookmarkEnd w:id="82"/>
      <w:r>
        <w:rPr>
          <w:rFonts w:hint="eastAsia" w:ascii="宋体" w:hAnsi="宋体"/>
          <w:sz w:val="24"/>
          <w:szCs w:val="24"/>
        </w:rPr>
        <w:t xml:space="preserve">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21.1响应文件审查分为资格审查和符合性审查。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pStyle w:val="898"/>
        <w:ind w:firstLine="420"/>
        <w:jc w:val="left"/>
        <w:spacing w:line="360" w:lineRule="auto"/>
        <w:rPr>
          <w:rFonts w:hint="eastAsia"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pStyle w:val="898"/>
        <w:ind w:firstLine="420"/>
        <w:spacing w:line="360" w:lineRule="auto"/>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pStyle w:val="898"/>
        <w:ind w:firstLine="420"/>
        <w:spacing w:line="360" w:lineRule="auto"/>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21.3未实质性响应谈判文件的情形</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21.3.1供应商在苏采云系统规定的时间内未成功解密电子响应文件的。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21.3.2供应商未按照谈判文件要求上传电子响应文件的。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21.3.3同一供应商提交两个（含两个）以上不同的响应文件或者最后报价的。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21.3.4供应商不具备谈判文件中规定资格要求的。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21.3.5供应商的最后报价超过了采购预算。</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21.3.6不符合谈判文件中规定的实质性要求和条件的。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21.3.8响应文件含有采购人不能接受的附加条件的。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21.3.10响应文件未按照谈判文件要求加盖CA电子公章的。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21.4未实质性响应谈判文件的响应文件按无效响应处理。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pStyle w:val="898"/>
        <w:ind w:firstLine="420"/>
        <w:spacing w:line="360" w:lineRule="auto"/>
        <w:rPr>
          <w:rFonts w:hint="eastAsia"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w:t>
      </w:r>
      <w:r>
        <w:rPr>
          <w:rFonts w:hint="eastAsia" w:ascii="宋体" w:hAnsi="宋体"/>
          <w:b/>
          <w:sz w:val="24"/>
          <w:szCs w:val="24"/>
        </w:rPr>
        <w:t xml:space="preserve">谈判程序及成交原则</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22.1谈判程序</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98"/>
        <w:ind w:firstLine="420"/>
        <w:spacing w:line="360" w:lineRule="auto"/>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98"/>
        <w:ind w:firstLine="420"/>
        <w:spacing w:line="360" w:lineRule="auto"/>
        <w:rPr>
          <w:rFonts w:hint="eastAsia"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10分钟。</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（最后报价时间为10分钟）</w:t>
      </w:r>
      <w:r>
        <w:rPr>
          <w:rFonts w:hint="eastAsia" w:ascii="宋体" w:hAnsi="宋体"/>
          <w:sz w:val="24"/>
          <w:szCs w:val="24"/>
        </w:rPr>
        <w:t xml:space="preserve">提交最后报价。 </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22.2 成交原则</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22.2.2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898"/>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rPr>
          <w:rFonts w:ascii="宋体" w:hAnsi="宋体"/>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22.3.1因情况变化，不再符合规定的竞争性谈判采购方式适用情形的。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22.3.2出现影响采购公正的违法、违规行为的。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22.3.4在苏采云系统规定时间内成功解密电子响应文件的供应商不足3家的。</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23.异常低价响应审查</w:t>
      </w:r>
      <w:r/>
    </w:p>
    <w:p>
      <w:pPr>
        <w:pStyle w:val="898"/>
        <w:ind w:firstLine="420"/>
        <w:spacing w:line="360" w:lineRule="auto"/>
        <w:rPr>
          <w:rFonts w:ascii="宋体" w:hAnsi="宋体"/>
          <w:b/>
          <w:sz w:val="24"/>
          <w:szCs w:val="24"/>
        </w:rPr>
      </w:pPr>
      <w:r>
        <w:rPr>
          <w:rFonts w:hint="eastAsia" w:ascii="宋体" w:hAnsi="宋体"/>
          <w:b/>
          <w:sz w:val="24"/>
          <w:szCs w:val="24"/>
        </w:rPr>
        <w:t xml:space="preserve">评审过程中出现下列情形之一的，评审委员会应当启动异常低价响应审查程序：</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23.1响应报价低于采购项目预算50%的，即响应报价&lt;采购项目预算×50%；</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23.2响应报价低于采购项目最高限价45%的，即响应报价&lt;采购项目最高限价×45%；</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23.3评审委员会认定的供应商报价过低、有可能影响产品质量或者不能诚信履约的其他情形。</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23.4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b/>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rPr>
        <w:t xml:space="preserve">成交供应商被取消成交资格情形</w:t>
      </w:r>
      <w:r/>
    </w:p>
    <w:p>
      <w:pPr>
        <w:pStyle w:val="898"/>
        <w:ind w:firstLine="420"/>
        <w:spacing w:line="360" w:lineRule="auto"/>
        <w:rPr>
          <w:rFonts w:hint="eastAsia"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24.1提供虚假材料谋取成交的。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24.2与评审专家、采购人、其他供应商或者采购代理机构工作人员恶意串通的。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24.4恶意竞争，最后报价明显低于其自身合理成本且又无法提供证明的。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24.7将政府采购合同转包的。</w:t>
      </w:r>
      <w:r/>
    </w:p>
    <w:p>
      <w:pPr>
        <w:pStyle w:val="898"/>
        <w:ind w:firstLine="420"/>
        <w:spacing w:line="360" w:lineRule="auto"/>
        <w:rPr>
          <w:rFonts w:hint="eastAsia"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b/>
          <w:sz w:val="24"/>
          <w:szCs w:val="24"/>
        </w:rPr>
        <w:t xml:space="preserve">质疑处理</w:t>
      </w:r>
      <w:bookmarkEnd w:id="86"/>
      <w:r>
        <w:rPr>
          <w:rFonts w:hint="eastAsia" w:ascii="宋体" w:hAnsi="宋体"/>
          <w:b/>
          <w:sz w:val="24"/>
          <w:szCs w:val="24"/>
        </w:rPr>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98"/>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rPr>
          <w:rFonts w:ascii="宋体" w:hAnsi="宋体"/>
          <w:sz w:val="24"/>
          <w:szCs w:val="24"/>
        </w:rPr>
      </w:r>
      <w:r/>
    </w:p>
    <w:p>
      <w:pPr>
        <w:pStyle w:val="898"/>
        <w:ind w:firstLine="420"/>
        <w:jc w:val="left"/>
        <w:spacing w:line="360" w:lineRule="auto"/>
        <w:rPr>
          <w:rFonts w:hint="eastAsia"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rPr>
          <w:rFonts w:hint="eastAsia"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25.3.2质疑项目名称、编号；</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25.3.5必要的法律依据；</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25.3.6提出质疑的日期；</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rPr>
          <w:rFonts w:ascii="宋体" w:hAnsi="宋体"/>
          <w:sz w:val="24"/>
          <w:szCs w:val="24"/>
        </w:rPr>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 以下情形的质疑不予受理</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5.5.1 内容不符合《政府采购质疑和投诉办法》第十二条规定的质疑。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5.5.2 超出政府采购法定期限的质疑。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5.5.3 以传真、电子邮件等方式递交的非原件形式的质疑。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5.5.4 未参加谈判活动的供应商或在谈判活动中自身权益未受到损害的供应商所提出的质疑。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8"/>
        <w:ind w:firstLine="420"/>
        <w:spacing w:line="360"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b/>
          <w:sz w:val="24"/>
          <w:szCs w:val="24"/>
        </w:rPr>
        <w:t xml:space="preserve">成交通知书</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98"/>
        <w:ind w:firstLine="420"/>
        <w:spacing w:line="360" w:lineRule="auto"/>
        <w:rPr>
          <w:rFonts w:hint="eastAsia"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pStyle w:val="898"/>
        <w:ind w:firstLine="420"/>
        <w:spacing w:line="360" w:lineRule="auto"/>
        <w:rPr>
          <w:rFonts w:hint="eastAsia" w:ascii="宋体" w:hAnsi="宋体"/>
          <w:b/>
          <w:sz w:val="24"/>
          <w:szCs w:val="24"/>
        </w:rPr>
      </w:pPr>
      <w:r/>
      <w:bookmarkStart w:id="87" w:name="_Toc16938552"/>
      <w:r/>
      <w:bookmarkStart w:id="88" w:name="_Toc120614220"/>
      <w:r/>
      <w:bookmarkStart w:id="89" w:name="_Toc20823308"/>
      <w:r/>
      <w:bookmarkStart w:id="90" w:name="_Toc513029236"/>
      <w:r>
        <w:rPr>
          <w:rFonts w:hint="eastAsia" w:ascii="宋体" w:hAnsi="宋体"/>
          <w:b/>
          <w:sz w:val="24"/>
          <w:szCs w:val="24"/>
        </w:rPr>
        <w:t xml:space="preserve">七、授予合同</w:t>
      </w:r>
      <w:bookmarkEnd w:id="88"/>
      <w:r>
        <w:rPr>
          <w:rFonts w:hint="eastAsia" w:ascii="宋体" w:hAnsi="宋体"/>
          <w:b/>
          <w:sz w:val="24"/>
          <w:szCs w:val="24"/>
        </w:rPr>
      </w:r>
      <w:r/>
    </w:p>
    <w:p>
      <w:pPr>
        <w:pStyle w:val="898"/>
        <w:ind w:firstLine="420"/>
        <w:spacing w:line="360" w:lineRule="auto"/>
        <w:rPr>
          <w:rFonts w:hint="eastAsia" w:ascii="宋体" w:hAnsi="宋体"/>
          <w:sz w:val="24"/>
          <w:szCs w:val="24"/>
        </w:rPr>
      </w:pPr>
      <w:r/>
      <w:bookmarkEnd w:id="87"/>
      <w:r/>
      <w:bookmarkEnd w:id="89"/>
      <w:r/>
      <w:bookmarkEnd w:id="90"/>
      <w:r/>
      <w:bookmarkStart w:id="91" w:name="_Toc16938553"/>
      <w:r/>
      <w:bookmarkStart w:id="92" w:name="_Toc20823309"/>
      <w:r/>
      <w:bookmarkStart w:id="93" w:name="_Toc513029237"/>
      <w:r>
        <w:rPr>
          <w:rFonts w:hint="eastAsia" w:ascii="宋体" w:hAnsi="宋体"/>
          <w:sz w:val="24"/>
          <w:szCs w:val="24"/>
        </w:rPr>
        <w:t xml:space="preserve">27.签订合同</w:t>
      </w:r>
      <w:r/>
    </w:p>
    <w:p>
      <w:pPr>
        <w:pStyle w:val="898"/>
        <w:ind w:firstLine="420"/>
        <w:spacing w:line="360" w:lineRule="auto"/>
        <w:rPr>
          <w:rFonts w:hint="eastAsia" w:ascii="宋体" w:hAnsi="宋体"/>
          <w:sz w:val="24"/>
          <w:szCs w:val="24"/>
        </w:rPr>
      </w:pPr>
      <w:r>
        <w:rPr>
          <w:rFonts w:hint="eastAsia" w:ascii="宋体" w:hAnsi="宋体"/>
          <w:sz w:val="24"/>
          <w:szCs w:val="24"/>
        </w:rPr>
        <w:t xml:space="preserve">27.l</w:t>
      </w:r>
      <w:r>
        <w:rPr>
          <w:rFonts w:hint="eastAsia" w:ascii="宋体" w:hAnsi="宋体"/>
          <w:b/>
          <w:sz w:val="24"/>
          <w:szCs w:val="24"/>
        </w:rPr>
        <w:t xml:space="preserve">成交供应商应当在成交通知书发出之日起三十日内，按照谈判文件确定的事项与采购人签订政府采购合同。</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pStyle w:val="898"/>
        <w:ind w:firstLine="420"/>
        <w:spacing w:line="360" w:lineRule="auto"/>
        <w:rPr>
          <w:rFonts w:hint="eastAsia" w:ascii="宋体" w:hAnsi="宋体"/>
          <w:sz w:val="24"/>
          <w:szCs w:val="24"/>
        </w:rPr>
      </w:pPr>
      <w:r>
        <w:rPr>
          <w:rFonts w:hint="eastAsia" w:ascii="宋体" w:hAnsi="宋体"/>
          <w:sz w:val="24"/>
          <w:szCs w:val="24"/>
        </w:rPr>
        <w:t xml:space="preserve">28.标的物的追加</w:t>
      </w:r>
      <w:r/>
    </w:p>
    <w:p>
      <w:pPr>
        <w:pStyle w:val="898"/>
        <w:ind w:firstLine="420"/>
        <w:spacing w:line="360" w:lineRule="auto"/>
        <w:rPr>
          <w:rFonts w:hint="eastAsia"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8"/>
        <w:ind w:firstLine="420"/>
        <w:spacing w:line="360" w:lineRule="auto"/>
        <w:rPr>
          <w:rFonts w:ascii="宋体" w:hAnsi="宋体"/>
          <w:sz w:val="24"/>
          <w:szCs w:val="24"/>
        </w:rPr>
      </w:pPr>
      <w:r/>
      <w:bookmarkEnd w:id="91"/>
      <w:r/>
      <w:bookmarkEnd w:id="92"/>
      <w:r/>
      <w:bookmarkEnd w:id="93"/>
      <w:r>
        <w:rPr>
          <w:rFonts w:hint="eastAsia" w:ascii="宋体" w:hAnsi="宋体"/>
          <w:sz w:val="24"/>
          <w:szCs w:val="24"/>
        </w:rPr>
        <w:t xml:space="preserve">29</w:t>
      </w:r>
      <w:r>
        <w:rPr>
          <w:rFonts w:hint="eastAsia" w:ascii="宋体" w:hAnsi="宋体"/>
          <w:sz w:val="24"/>
          <w:szCs w:val="24"/>
        </w:rPr>
        <w:t xml:space="preserve">.</w:t>
      </w:r>
      <w:r>
        <w:rPr>
          <w:rFonts w:hint="eastAsia" w:ascii="宋体" w:hAnsi="宋体"/>
          <w:sz w:val="24"/>
          <w:szCs w:val="24"/>
        </w:rPr>
        <w:t xml:space="preserve">政府采购履约资金扶持政策</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0"/>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sz w:val="24"/>
          <w:szCs w:val="24"/>
        </w:rPr>
      </w:r>
      <w:r/>
    </w:p>
    <w:p>
      <w:pPr>
        <w:pStyle w:val="899"/>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rPr>
          <w:rFonts w:ascii="宋体" w:hAnsi="宋体"/>
          <w:b/>
        </w:rPr>
      </w:r>
      <w:r/>
    </w:p>
    <w:p>
      <w:pPr>
        <w:pStyle w:val="898"/>
        <w:ind w:firstLine="420"/>
        <w:spacing w:line="360" w:lineRule="auto"/>
        <w:rPr>
          <w:rFonts w:hint="eastAsia" w:ascii="宋体" w:hAnsi="宋体"/>
          <w:b/>
          <w:sz w:val="24"/>
          <w:szCs w:val="24"/>
        </w:rPr>
      </w:pPr>
      <w:r/>
      <w:bookmarkEnd w:id="7"/>
      <w:r/>
      <w:bookmarkEnd w:id="8"/>
      <w:r/>
      <w:bookmarkEnd w:id="9"/>
      <w:r/>
      <w:bookmarkEnd w:id="10"/>
      <w:r>
        <w:rPr>
          <w:rFonts w:hint="eastAsia" w:ascii="宋体" w:hAnsi="宋体"/>
          <w:b/>
          <w:sz w:val="24"/>
          <w:szCs w:val="24"/>
        </w:rPr>
        <w:t xml:space="preserve">一、项目基本情况</w:t>
      </w:r>
      <w:r/>
    </w:p>
    <w:p>
      <w:pPr>
        <w:pStyle w:val="898"/>
        <w:ind w:firstLine="420"/>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JSZC-320583-KSZJ-T2026-0001</w:t>
      </w:r>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3.服务期：2年（具体合同中明确）；</w:t>
      </w:r>
      <w:r/>
    </w:p>
    <w:p>
      <w:pPr>
        <w:pStyle w:val="898"/>
        <w:ind w:firstLine="420"/>
        <w:spacing w:line="360" w:lineRule="auto"/>
        <w:rPr>
          <w:rFonts w:hint="eastAsia" w:ascii="宋体" w:hAnsi="宋体"/>
          <w:b/>
          <w:sz w:val="24"/>
          <w:szCs w:val="24"/>
        </w:rPr>
      </w:pPr>
      <w:r/>
      <w:bookmarkStart w:id="95" w:name="_Toc161591368"/>
      <w:r/>
      <w:bookmarkStart w:id="96" w:name="_Toc126766118"/>
      <w:r>
        <w:rPr>
          <w:rFonts w:hint="eastAsia" w:ascii="宋体" w:hAnsi="宋体"/>
          <w:b/>
          <w:sz w:val="24"/>
          <w:szCs w:val="24"/>
        </w:rPr>
        <w:t xml:space="preserve">二、谈判内容及要求</w:t>
      </w:r>
      <w:bookmarkEnd w:id="95"/>
      <w:r/>
      <w:bookmarkEnd w:id="96"/>
      <w:r>
        <w:rPr>
          <w:rFonts w:hint="eastAsia" w:ascii="宋体" w:hAnsi="宋体"/>
          <w:b/>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1.基本情况：医务人员数为 795人，床位数 1246张，手术次数24108次。</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2.保障内容：</w:t>
      </w:r>
      <w:r/>
    </w:p>
    <w:p>
      <w:pPr>
        <w:pStyle w:val="898"/>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.1医疗事故：指经医疗事故鉴定机构鉴定，或经法院判决的</w:t>
      </w:r>
      <w:r>
        <w:rPr>
          <w:rFonts w:hint="eastAsia" w:ascii="宋体" w:hAnsi="宋体"/>
          <w:sz w:val="24"/>
          <w:szCs w:val="24"/>
        </w:rPr>
        <w:t xml:space="preserve">医患纠纷</w:t>
      </w:r>
      <w:r>
        <w:rPr>
          <w:rFonts w:ascii="宋体" w:hAnsi="宋体"/>
          <w:sz w:val="24"/>
          <w:szCs w:val="24"/>
        </w:rPr>
        <w:t xml:space="preserve">案例。</w:t>
      </w:r>
      <w:r/>
    </w:p>
    <w:p>
      <w:pPr>
        <w:pStyle w:val="898"/>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.2院内协商：</w:t>
      </w:r>
      <w:r>
        <w:rPr>
          <w:rFonts w:hint="eastAsia" w:ascii="宋体" w:hAnsi="宋体"/>
          <w:sz w:val="24"/>
          <w:szCs w:val="24"/>
        </w:rPr>
        <w:t xml:space="preserve">指发生医疗事故后，因案情简单，为方便群众，缩短事故善后处理过程，不通过</w:t>
      </w:r>
      <w:r>
        <w:rPr>
          <w:rFonts w:ascii="宋体" w:hAnsi="宋体"/>
          <w:sz w:val="24"/>
          <w:szCs w:val="24"/>
        </w:rPr>
        <w:t xml:space="preserve">医疗事故鉴定机构鉴定，</w:t>
      </w:r>
      <w:r>
        <w:rPr>
          <w:rFonts w:hint="eastAsia" w:ascii="宋体" w:hAnsi="宋体"/>
          <w:sz w:val="24"/>
          <w:szCs w:val="24"/>
        </w:rPr>
        <w:t xml:space="preserve">也不通过</w:t>
      </w:r>
      <w:r>
        <w:rPr>
          <w:rFonts w:ascii="宋体" w:hAnsi="宋体"/>
          <w:sz w:val="24"/>
          <w:szCs w:val="24"/>
        </w:rPr>
        <w:t xml:space="preserve">法院判决处理</w:t>
      </w:r>
      <w:r>
        <w:rPr>
          <w:rFonts w:hint="eastAsia" w:ascii="宋体" w:hAnsi="宋体"/>
          <w:sz w:val="24"/>
          <w:szCs w:val="24"/>
        </w:rPr>
        <w:t xml:space="preserve">，仅由医患双方协商，或经法院调解，或经昆山市医疗纠纷人民调解委员会调解的医患纠纷</w:t>
      </w:r>
      <w:r>
        <w:rPr>
          <w:rFonts w:ascii="宋体" w:hAnsi="宋体"/>
          <w:sz w:val="24"/>
          <w:szCs w:val="24"/>
        </w:rPr>
        <w:t xml:space="preserve">案例</w:t>
      </w:r>
      <w:r>
        <w:rPr>
          <w:rFonts w:hint="eastAsia" w:ascii="宋体" w:hAnsi="宋体"/>
          <w:sz w:val="24"/>
          <w:szCs w:val="24"/>
        </w:rPr>
        <w:t xml:space="preserve">。</w:t>
      </w:r>
      <w:r>
        <w:rPr>
          <w:rFonts w:ascii="宋体" w:hAnsi="宋体"/>
          <w:sz w:val="24"/>
          <w:szCs w:val="24"/>
        </w:rPr>
        <w:t xml:space="preserve">保险公司接受医患</w:t>
      </w:r>
      <w:r>
        <w:rPr>
          <w:rFonts w:hint="eastAsia" w:ascii="宋体" w:hAnsi="宋体"/>
          <w:sz w:val="24"/>
          <w:szCs w:val="24"/>
        </w:rPr>
        <w:t xml:space="preserve">双方</w:t>
      </w:r>
      <w:r>
        <w:rPr>
          <w:rFonts w:ascii="宋体" w:hAnsi="宋体"/>
          <w:sz w:val="24"/>
          <w:szCs w:val="24"/>
        </w:rPr>
        <w:t xml:space="preserve">协商的结果，并以此作为理赔依据。对于索赔金额不超5万元的纠纷案件免除事故认定书，由被保险人出具相关情况说明，保险公司按照医院实际承担的金额赔付（不超5万元）。</w:t>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保险</w:t>
      </w:r>
      <w:r>
        <w:rPr>
          <w:rFonts w:hint="eastAsia" w:ascii="宋体" w:hAnsi="宋体"/>
          <w:sz w:val="24"/>
          <w:szCs w:val="24"/>
        </w:rPr>
        <w:t xml:space="preserve">方案</w:t>
      </w:r>
      <w:r>
        <w:rPr>
          <w:rFonts w:ascii="宋体" w:hAnsi="宋体"/>
          <w:sz w:val="24"/>
          <w:szCs w:val="24"/>
        </w:rPr>
        <w:t xml:space="preserve">：</w:t>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赔偿限额：</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医疗责任责任限额（医疗</w:t>
      </w:r>
      <w:r>
        <w:rPr>
          <w:rFonts w:ascii="宋体" w:hAnsi="宋体"/>
          <w:sz w:val="24"/>
          <w:szCs w:val="24"/>
        </w:rPr>
        <w:t xml:space="preserve">事故</w:t>
      </w:r>
      <w:r>
        <w:rPr>
          <w:rFonts w:hint="eastAsia" w:ascii="宋体" w:hAnsi="宋体"/>
          <w:sz w:val="24"/>
          <w:szCs w:val="24"/>
        </w:rPr>
        <w:t xml:space="preserve">/院内</w:t>
      </w:r>
      <w:r>
        <w:rPr>
          <w:rFonts w:ascii="宋体" w:hAnsi="宋体"/>
          <w:sz w:val="24"/>
          <w:szCs w:val="24"/>
        </w:rPr>
        <w:t xml:space="preserve">协商</w:t>
      </w:r>
      <w:r>
        <w:rPr>
          <w:rFonts w:hint="eastAsia" w:ascii="宋体" w:hAnsi="宋体"/>
          <w:sz w:val="24"/>
          <w:szCs w:val="24"/>
        </w:rPr>
        <w:t xml:space="preserve">）：每人责任限额：30万元，累计责任限额：</w:t>
      </w:r>
      <w:r>
        <w:rPr>
          <w:rFonts w:ascii="宋体" w:hAnsi="宋体"/>
          <w:sz w:val="24"/>
          <w:szCs w:val="24"/>
        </w:rPr>
        <w:t xml:space="preserve">2</w:t>
      </w:r>
      <w:r>
        <w:rPr>
          <w:rFonts w:hint="eastAsia" w:ascii="宋体" w:hAnsi="宋体"/>
          <w:sz w:val="24"/>
          <w:szCs w:val="24"/>
        </w:rPr>
        <w:t xml:space="preserve">40万元；</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法律费用责任限额：每次事故责任限额：</w:t>
      </w:r>
      <w:r>
        <w:rPr>
          <w:rFonts w:ascii="宋体" w:hAnsi="宋体"/>
          <w:sz w:val="24"/>
          <w:szCs w:val="24"/>
        </w:rPr>
        <w:t xml:space="preserve">30</w:t>
      </w:r>
      <w:r>
        <w:rPr>
          <w:rFonts w:hint="eastAsia" w:ascii="宋体" w:hAnsi="宋体"/>
          <w:sz w:val="24"/>
          <w:szCs w:val="24"/>
        </w:rPr>
        <w:t xml:space="preserve">万元，累计责任限额：</w:t>
      </w:r>
      <w:r>
        <w:rPr>
          <w:rFonts w:ascii="宋体" w:hAnsi="宋体"/>
          <w:sz w:val="24"/>
          <w:szCs w:val="24"/>
        </w:rPr>
        <w:t xml:space="preserve">100</w:t>
      </w:r>
      <w:r>
        <w:rPr>
          <w:rFonts w:hint="eastAsia" w:ascii="宋体" w:hAnsi="宋体"/>
          <w:sz w:val="24"/>
          <w:szCs w:val="24"/>
        </w:rPr>
        <w:t xml:space="preserve">万元；</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免赔标准：</w:t>
      </w:r>
      <w:r>
        <w:rPr>
          <w:rFonts w:hint="eastAsia" w:ascii="宋体" w:hAnsi="宋体"/>
          <w:sz w:val="24"/>
          <w:szCs w:val="24"/>
        </w:rPr>
        <w:t xml:space="preserve">每次事故免赔额2万，免赔率 25%，两者以高者为准；</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赔付率（近5年）：95</w:t>
      </w:r>
      <w:r>
        <w:rPr>
          <w:rFonts w:ascii="宋体" w:hAnsi="宋体"/>
          <w:sz w:val="24"/>
          <w:szCs w:val="24"/>
        </w:rPr>
        <w:t xml:space="preserve">%；</w:t>
      </w:r>
      <w:r/>
    </w:p>
    <w:p>
      <w:pPr>
        <w:pStyle w:val="898"/>
        <w:ind w:firstLine="420"/>
        <w:spacing w:line="360" w:lineRule="auto"/>
        <w:rPr>
          <w:rFonts w:ascii="宋体" w:hAnsi="宋体"/>
          <w:sz w:val="24"/>
          <w:szCs w:val="24"/>
        </w:rPr>
      </w:pPr>
      <w:r>
        <w:rPr>
          <w:rFonts w:hint="eastAsia" w:ascii="宋体" w:hAnsi="宋体"/>
          <w:sz w:val="24"/>
          <w:szCs w:val="24"/>
        </w:rPr>
        <w:t xml:space="preserve">3.4</w:t>
      </w:r>
      <w:r>
        <w:rPr>
          <w:rFonts w:ascii="宋体" w:hAnsi="宋体"/>
          <w:sz w:val="24"/>
          <w:szCs w:val="24"/>
        </w:rPr>
        <w:t xml:space="preserve">附加险</w:t>
      </w:r>
      <w:r/>
    </w:p>
    <w:p>
      <w:pPr>
        <w:pStyle w:val="898"/>
        <w:ind w:firstLine="420"/>
        <w:spacing w:line="360" w:lineRule="auto"/>
        <w:rPr>
          <w:rFonts w:ascii="宋体" w:hAnsi="宋体"/>
          <w:sz w:val="24"/>
          <w:szCs w:val="24"/>
        </w:rPr>
      </w:pPr>
      <w:r>
        <w:rPr>
          <w:rFonts w:ascii="宋体" w:hAnsi="宋体"/>
          <w:sz w:val="24"/>
          <w:szCs w:val="24"/>
        </w:rPr>
        <w:t xml:space="preserve">附加医务人员伤害责任</w:t>
      </w:r>
      <w:r>
        <w:rPr>
          <w:rFonts w:hint="eastAsia" w:ascii="宋体" w:hAnsi="宋体"/>
          <w:sz w:val="24"/>
          <w:szCs w:val="24"/>
        </w:rPr>
        <w:t xml:space="preserve">（每人限额30万元）</w:t>
      </w:r>
      <w:r>
        <w:rPr>
          <w:rFonts w:ascii="宋体" w:hAnsi="宋体"/>
          <w:sz w:val="24"/>
          <w:szCs w:val="24"/>
        </w:rPr>
      </w:r>
      <w:r/>
    </w:p>
    <w:p>
      <w:pPr>
        <w:pStyle w:val="898"/>
        <w:ind w:firstLine="420"/>
        <w:spacing w:line="360" w:lineRule="auto"/>
        <w:rPr>
          <w:rFonts w:ascii="宋体" w:hAnsi="宋体"/>
          <w:sz w:val="24"/>
          <w:szCs w:val="24"/>
        </w:rPr>
      </w:pPr>
      <w:r>
        <w:rPr>
          <w:rFonts w:ascii="宋体" w:hAnsi="宋体"/>
          <w:sz w:val="24"/>
          <w:szCs w:val="24"/>
        </w:rPr>
        <w:t xml:space="preserve">附加医疗机构场所责任</w:t>
      </w:r>
      <w:r>
        <w:rPr>
          <w:rFonts w:hint="eastAsia" w:ascii="宋体" w:hAnsi="宋体"/>
          <w:sz w:val="24"/>
          <w:szCs w:val="24"/>
        </w:rPr>
        <w:t xml:space="preserve">（每次30万元）</w:t>
      </w:r>
      <w:r>
        <w:rPr>
          <w:rFonts w:ascii="宋体" w:hAnsi="宋体"/>
          <w:sz w:val="24"/>
          <w:szCs w:val="24"/>
        </w:rPr>
      </w:r>
      <w:r/>
    </w:p>
    <w:p>
      <w:pPr>
        <w:pStyle w:val="898"/>
        <w:ind w:firstLine="420"/>
        <w:spacing w:line="360" w:lineRule="auto"/>
        <w:rPr>
          <w:rFonts w:ascii="宋体" w:hAnsi="宋体"/>
          <w:sz w:val="24"/>
          <w:szCs w:val="24"/>
        </w:rPr>
      </w:pPr>
      <w:r>
        <w:rPr>
          <w:rFonts w:ascii="宋体" w:hAnsi="宋体"/>
          <w:sz w:val="24"/>
          <w:szCs w:val="24"/>
        </w:rPr>
        <w:t xml:space="preserve">附加外请医务人员医疗责任</w:t>
      </w:r>
      <w:r>
        <w:rPr>
          <w:rFonts w:hint="eastAsia" w:ascii="宋体" w:hAnsi="宋体"/>
          <w:sz w:val="24"/>
          <w:szCs w:val="24"/>
        </w:rPr>
        <w:t xml:space="preserve">（每人30万）</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4.特别</w:t>
      </w:r>
      <w:r>
        <w:rPr>
          <w:rFonts w:ascii="宋体" w:hAnsi="宋体"/>
          <w:sz w:val="24"/>
          <w:szCs w:val="24"/>
        </w:rPr>
        <w:t xml:space="preserve">说明</w:t>
      </w:r>
      <w:r/>
    </w:p>
    <w:p>
      <w:pPr>
        <w:pStyle w:val="898"/>
        <w:ind w:firstLine="420"/>
        <w:spacing w:line="360" w:lineRule="auto"/>
        <w:rPr>
          <w:rFonts w:ascii="宋体" w:hAnsi="宋体"/>
          <w:sz w:val="24"/>
          <w:szCs w:val="24"/>
        </w:rPr>
      </w:pPr>
      <w:r>
        <w:rPr>
          <w:rFonts w:hint="eastAsia" w:ascii="宋体" w:hAnsi="宋体"/>
          <w:sz w:val="24"/>
          <w:szCs w:val="24"/>
        </w:rPr>
        <w:t xml:space="preserve">4.1医疗事故：指经医疗事故鉴定机构鉴定，或经法院判决的医患纠纷案例。</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医疗损害</w:t>
      </w:r>
      <w:r>
        <w:rPr>
          <w:rFonts w:ascii="宋体" w:hAnsi="宋体"/>
          <w:sz w:val="24"/>
          <w:szCs w:val="24"/>
        </w:rPr>
        <w:t xml:space="preserve">赔偿</w:t>
      </w:r>
      <w:r>
        <w:rPr>
          <w:rFonts w:hint="eastAsia" w:ascii="宋体" w:hAnsi="宋体"/>
          <w:sz w:val="24"/>
          <w:szCs w:val="24"/>
        </w:rPr>
        <w:t xml:space="preserve">：指发生医疗纠纷后，为方便群众，缩短事故善后处理过程仅由医患双方协商，或经法院调解的医患纠纷案例，</w:t>
      </w:r>
      <w:r>
        <w:rPr>
          <w:rFonts w:ascii="宋体" w:hAnsi="宋体"/>
          <w:sz w:val="24"/>
          <w:szCs w:val="24"/>
        </w:rPr>
        <w:t xml:space="preserve">或经昆山市医疗纠纷人民调解委员会</w:t>
      </w:r>
      <w:r>
        <w:rPr>
          <w:rFonts w:hint="eastAsia" w:ascii="宋体" w:hAnsi="宋体"/>
          <w:sz w:val="24"/>
          <w:szCs w:val="24"/>
        </w:rPr>
        <w:t xml:space="preserve">调解。保险公司接受医患双方协商的结果，以经</w:t>
      </w:r>
      <w:r>
        <w:rPr>
          <w:rFonts w:ascii="宋体" w:hAnsi="宋体"/>
          <w:sz w:val="24"/>
          <w:szCs w:val="24"/>
        </w:rPr>
        <w:t xml:space="preserve">协商或者</w:t>
      </w:r>
      <w:r>
        <w:rPr>
          <w:rFonts w:hint="eastAsia" w:ascii="宋体" w:hAnsi="宋体"/>
          <w:sz w:val="24"/>
          <w:szCs w:val="24"/>
        </w:rPr>
        <w:t xml:space="preserve">调解</w:t>
      </w:r>
      <w:r>
        <w:rPr>
          <w:rFonts w:ascii="宋体" w:hAnsi="宋体"/>
          <w:sz w:val="24"/>
          <w:szCs w:val="24"/>
        </w:rPr>
        <w:t xml:space="preserve">后达成的相关协议</w:t>
      </w:r>
      <w:r>
        <w:rPr>
          <w:rFonts w:hint="eastAsia" w:ascii="宋体" w:hAnsi="宋体"/>
          <w:sz w:val="24"/>
          <w:szCs w:val="24"/>
        </w:rPr>
        <w:t xml:space="preserve">作为理赔依据。</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被保险人减免患者的医疗费用不在本保险范围（因抢救而转院后的医疗费用除外）。</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w:t>
      </w:r>
      <w:r>
        <w:rPr>
          <w:rFonts w:hint="eastAsia" w:ascii="宋体" w:hAnsi="宋体"/>
          <w:sz w:val="24"/>
          <w:szCs w:val="24"/>
        </w:rPr>
        <w:t xml:space="preserve">精神损失赔偿也属于保险范围，但以相关法律规定准则为限。</w:t>
      </w:r>
      <w:r>
        <w:rPr>
          <w:rFonts w:ascii="宋体" w:hAnsi="宋体"/>
          <w:sz w:val="24"/>
          <w:szCs w:val="24"/>
        </w:rPr>
      </w:r>
      <w:r/>
    </w:p>
    <w:p>
      <w:pPr>
        <w:pStyle w:val="898"/>
        <w:ind w:firstLine="420"/>
        <w:spacing w:line="360" w:lineRule="auto"/>
      </w:pPr>
      <w:r>
        <w:rPr>
          <w:rFonts w:hint="eastAsia" w:ascii="宋体" w:hAnsi="宋体"/>
          <w:sz w:val="24"/>
          <w:szCs w:val="24"/>
        </w:rPr>
        <w:t xml:space="preserve">4.</w:t>
      </w:r>
      <w:r>
        <w:rPr>
          <w:rFonts w:ascii="宋体" w:hAnsi="宋体"/>
          <w:sz w:val="24"/>
          <w:szCs w:val="24"/>
        </w:rPr>
        <w:t xml:space="preserve">4</w:t>
      </w:r>
      <w:r>
        <w:rPr>
          <w:rFonts w:hint="eastAsia" w:ascii="宋体" w:hAnsi="宋体"/>
          <w:sz w:val="24"/>
          <w:szCs w:val="24"/>
        </w:rPr>
        <w:t xml:space="preserve">本保单保障范围仅限投保时提供的地址，不需提供人员清单，理赔时医务人员执业证或其他材料证明是本院员工即可。</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4.5经双方协商确定：为快速消除纠纷案件对医院日常运营产生的不利影响，对于索赔金额不超5万元的纠纷案件免除事故认定书，由被保险人出具相关情况说明，保险公司按照医院实际承担的金额赔付（不超5万元）。</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4.6本保单为期内索赔提出式，追溯日期至2018年09月21日，索赔提出时间以被保险人实际支付病患家属的赔款时间为准。</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4.7理赔材料医务处章用印效用等同于医院公章。</w:t>
      </w:r>
      <w:r>
        <w:rPr>
          <w:rFonts w:ascii="宋体" w:hAnsi="宋体"/>
          <w:sz w:val="24"/>
          <w:szCs w:val="24"/>
        </w:rPr>
      </w:r>
      <w:r/>
    </w:p>
    <w:p>
      <w:pPr>
        <w:pStyle w:val="898"/>
        <w:ind w:firstLine="420"/>
        <w:spacing w:line="360" w:lineRule="auto"/>
        <w:rPr>
          <w:rFonts w:hint="eastAsia"/>
          <w:sz w:val="24"/>
          <w:szCs w:val="24"/>
        </w:rPr>
      </w:pPr>
      <w:r>
        <w:rPr>
          <w:rFonts w:hint="eastAsia"/>
          <w:sz w:val="24"/>
          <w:szCs w:val="24"/>
        </w:rPr>
        <w:t xml:space="preserve">三、综合说明</w:t>
      </w:r>
      <w:r/>
    </w:p>
    <w:p>
      <w:pPr>
        <w:pStyle w:val="898"/>
        <w:ind w:firstLine="420"/>
        <w:spacing w:line="360" w:lineRule="auto"/>
        <w:widowControl/>
        <w:rPr>
          <w:rFonts w:ascii="宋体" w:hAnsi="宋体" w:cs="Arial"/>
          <w:sz w:val="24"/>
          <w:szCs w:val="24"/>
        </w:rPr>
      </w:pPr>
      <w:r>
        <w:rPr>
          <w:rFonts w:hint="eastAsia" w:ascii="宋体" w:hAnsi="宋体" w:cs="Arial"/>
          <w:sz w:val="24"/>
          <w:szCs w:val="24"/>
        </w:rPr>
        <w:t xml:space="preserve">1.投标单位必须明确提供所投项目的说明及服务内容。</w:t>
      </w:r>
      <w:r>
        <w:rPr>
          <w:rFonts w:ascii="宋体" w:hAnsi="宋体" w:cs="Arial"/>
          <w:sz w:val="24"/>
          <w:szCs w:val="24"/>
        </w:rPr>
      </w:r>
      <w:r/>
    </w:p>
    <w:p>
      <w:pPr>
        <w:pStyle w:val="898"/>
        <w:ind w:firstLine="420"/>
        <w:spacing w:line="360" w:lineRule="auto"/>
        <w:widowControl/>
        <w:rPr>
          <w:rFonts w:ascii="宋体" w:hAnsi="宋体" w:cs="Arial"/>
          <w:sz w:val="24"/>
          <w:szCs w:val="24"/>
        </w:rPr>
      </w:pPr>
      <w:r>
        <w:rPr>
          <w:rFonts w:hint="eastAsia" w:ascii="宋体" w:hAnsi="宋体" w:cs="Arial"/>
          <w:sz w:val="24"/>
          <w:szCs w:val="24"/>
        </w:rPr>
        <w:t xml:space="preserve">2.投标单位必须承诺谈判文件中提出的全部技术要求，如果以其中某些条款不响应时，应在文件中逐条列出，未列出的视同响应。</w:t>
      </w:r>
      <w:r>
        <w:rPr>
          <w:rFonts w:ascii="宋体" w:hAnsi="宋体" w:cs="Arial"/>
          <w:sz w:val="24"/>
          <w:szCs w:val="24"/>
        </w:rPr>
      </w:r>
      <w:r/>
    </w:p>
    <w:p>
      <w:pPr>
        <w:pStyle w:val="898"/>
        <w:ind w:firstLine="420"/>
        <w:spacing w:line="360" w:lineRule="auto"/>
        <w:widowControl/>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Arial"/>
          <w:sz w:val="24"/>
          <w:szCs w:val="24"/>
        </w:rPr>
        <w:t xml:space="preserve">3.凡涉及谈判文件的补充说明和修改，均以苏州市政府采购网通知为准。</w:t>
      </w:r>
      <w:r>
        <w:rPr>
          <w:rFonts w:ascii="宋体" w:hAnsi="宋体" w:cs="Arial"/>
          <w:szCs w:val="21"/>
        </w:rPr>
      </w:r>
      <w:r/>
    </w:p>
    <w:p>
      <w:pPr>
        <w:pStyle w:val="899"/>
        <w:numPr>
          <w:ilvl w:val="0"/>
          <w:numId w:val="9"/>
        </w:numPr>
        <w:spacing w:line="360" w:lineRule="auto"/>
        <w:tabs>
          <w:tab w:val="left" w:pos="405" w:leader="none"/>
          <w:tab w:val="left" w:pos="420" w:leader="none"/>
        </w:tabs>
        <w:rPr>
          <w:rFonts w:hint="eastAsia" w:ascii="宋体" w:hAnsi="宋体"/>
          <w:b/>
        </w:rPr>
      </w:pPr>
      <w:r/>
      <w:bookmarkStart w:id="97" w:name="_Toc161591374"/>
      <w:r>
        <w:rPr>
          <w:rFonts w:hint="eastAsia" w:ascii="宋体" w:hAnsi="宋体"/>
          <w:b/>
        </w:rPr>
        <w:t xml:space="preserve">合同主要内容</w:t>
      </w:r>
      <w:bookmarkEnd w:id="97"/>
      <w:r>
        <w:rPr>
          <w:rFonts w:hint="eastAsia" w:ascii="宋体" w:hAnsi="宋体"/>
          <w:b/>
        </w:rPr>
      </w:r>
      <w:r/>
    </w:p>
    <w:p>
      <w:pPr>
        <w:pStyle w:val="898"/>
        <w:rPr>
          <w:rFonts w:hint="eastAsia"/>
        </w:rPr>
      </w:pPr>
      <w:r>
        <w:rPr>
          <w:rFonts w:hint="eastAsia"/>
        </w:rPr>
      </w:r>
      <w:r/>
    </w:p>
    <w:p>
      <w:pPr>
        <w:pStyle w:val="935"/>
      </w:pPr>
      <w:r/>
      <w:r/>
    </w:p>
    <w:p>
      <w:pPr>
        <w:pStyle w:val="898"/>
        <w:ind w:firstLine="480"/>
        <w:spacing w:line="360" w:lineRule="auto"/>
        <w:rPr>
          <w:rFonts w:ascii="宋体" w:hAnsi="宋体"/>
          <w:sz w:val="24"/>
        </w:rPr>
      </w:pPr>
      <w:r>
        <w:rPr>
          <w:rFonts w:hint="eastAsia" w:ascii="宋体" w:hAnsi="宋体"/>
          <w:sz w:val="24"/>
        </w:rPr>
        <w:t xml:space="preserve">甲方：</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898"/>
        <w:ind w:firstLine="480"/>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乙方：</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898"/>
        <w:spacing w:line="360" w:lineRule="auto"/>
        <w:rPr>
          <w:rFonts w:hint="eastAsia" w:ascii="宋体" w:hAnsi="宋体"/>
          <w:sz w:val="24"/>
        </w:rPr>
      </w:pPr>
      <w:r>
        <w:rPr>
          <w:rFonts w:hint="eastAsia" w:ascii="宋体" w:hAnsi="宋体"/>
          <w:sz w:val="24"/>
        </w:rPr>
      </w:r>
      <w:r/>
    </w:p>
    <w:p>
      <w:pPr>
        <w:pStyle w:val="898"/>
        <w:ind w:firstLine="420"/>
        <w:spacing w:line="360" w:lineRule="auto"/>
        <w:rPr>
          <w:rFonts w:ascii="宋体" w:hAnsi="宋体"/>
          <w:sz w:val="24"/>
          <w:szCs w:val="24"/>
        </w:rPr>
      </w:pPr>
      <w:r>
        <w:rPr>
          <w:rFonts w:hint="eastAsia" w:ascii="宋体" w:hAnsi="宋体"/>
          <w:sz w:val="24"/>
          <w:szCs w:val="24"/>
        </w:rPr>
        <w:t xml:space="preserve">甲、乙双方本着自愿、平等、互利和诚实信用的原则，就此次确定的</w:t>
      </w:r>
      <w:r>
        <w:rPr>
          <w:rFonts w:hint="eastAsia" w:ascii="宋体" w:hAnsi="宋体"/>
          <w:sz w:val="24"/>
          <w:szCs w:val="24"/>
        </w:rPr>
        <w:t xml:space="preserve">昆山市中医医院</w:t>
      </w:r>
      <w:r>
        <w:rPr>
          <w:rFonts w:hint="eastAsia" w:ascii="宋体" w:hAnsi="宋体"/>
          <w:sz w:val="24"/>
          <w:szCs w:val="24"/>
        </w:rPr>
        <w:t xml:space="preserve">医疗责任保险事宜签订本合同。</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一、保险当事人</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“投保人”是指与保险人订立保险合同，并按照保险合同负有支付保险费义务的人或单位。</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“保险人”是指与投保人订立保险合同，并承担赔偿或者给付保险金责任的保险公司。</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“被保险人”是指按本合同约定在乙方办理保险的具体采购单位</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二、保险责任及保险期间</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1.保险责任：被保险人如发生保险事故，乙方即按保险金额按保单约定给付保险金。</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2.保险期限：二年。</w:t>
      </w:r>
      <w:r>
        <w:rPr>
          <w:rFonts w:ascii="宋体" w:hAnsi="宋体"/>
          <w:sz w:val="24"/>
          <w:szCs w:val="24"/>
        </w:rPr>
      </w:r>
      <w:r/>
    </w:p>
    <w:p>
      <w:pPr>
        <w:pStyle w:val="898"/>
        <w:ind w:firstLine="480"/>
        <w:spacing w:line="360" w:lineRule="auto"/>
        <w:rPr>
          <w:rFonts w:ascii="宋体" w:hAnsi="宋体"/>
          <w:sz w:val="24"/>
        </w:rPr>
      </w:pPr>
      <w:r>
        <w:rPr>
          <w:rFonts w:hint="eastAsia" w:ascii="宋体" w:hAnsi="宋体"/>
          <w:b/>
          <w:sz w:val="24"/>
        </w:rPr>
        <w:t xml:space="preserve">三、保险金的申领及给付</w:t>
      </w:r>
      <w:r>
        <w:rPr>
          <w:rFonts w:hint="eastAsia" w:ascii="宋体" w:hAnsi="宋体"/>
          <w:sz w:val="24"/>
        </w:rPr>
        <w:t xml:space="preserve">：详见本合同“七、理赔服务”。</w:t>
      </w:r>
      <w:r>
        <w:rPr>
          <w:rFonts w:ascii="宋体" w:hAnsi="宋体"/>
          <w:sz w:val="24"/>
        </w:rPr>
      </w:r>
      <w:r/>
    </w:p>
    <w:p>
      <w:pPr>
        <w:pStyle w:val="898"/>
        <w:ind w:firstLine="420"/>
        <w:spacing w:line="360" w:lineRule="auto"/>
        <w:rPr>
          <w:rFonts w:ascii="宋体" w:hAnsi="宋体"/>
          <w:b/>
          <w:sz w:val="24"/>
        </w:rPr>
      </w:pPr>
      <w:r>
        <w:rPr>
          <w:rFonts w:hint="eastAsia" w:ascii="宋体" w:hAnsi="宋体"/>
          <w:b/>
          <w:sz w:val="24"/>
        </w:rPr>
        <w:t xml:space="preserve">四、保费及结算办法</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（一）保费：</w:t>
      </w:r>
      <w:r>
        <w:rPr>
          <w:rFonts w:hint="eastAsia" w:ascii="宋体" w:hAnsi="宋体"/>
          <w:sz w:val="24"/>
          <w:u w:val="single"/>
        </w:rPr>
        <w:t xml:space="preserve">           </w:t>
      </w:r>
      <w:r>
        <w:rPr>
          <w:rFonts w:hint="eastAsia" w:ascii="宋体" w:hAnsi="宋体"/>
          <w:sz w:val="24"/>
        </w:rPr>
        <w:t xml:space="preserve">元整（RMB：</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（二）结算方法：</w:t>
      </w:r>
      <w:r>
        <w:rPr>
          <w:rFonts w:ascii="宋体" w:hAnsi="宋体"/>
          <w:sz w:val="24"/>
        </w:rPr>
      </w:r>
      <w:r/>
    </w:p>
    <w:p>
      <w:pPr>
        <w:pStyle w:val="898"/>
        <w:ind w:firstLine="420"/>
        <w:spacing w:line="360" w:lineRule="auto"/>
        <w:rPr>
          <w:rFonts w:ascii="宋体" w:hAnsi="宋体"/>
          <w:sz w:val="24"/>
          <w:szCs w:val="24"/>
        </w:rPr>
      </w:pPr>
      <w:r>
        <w:rPr>
          <w:rFonts w:hint="eastAsia" w:ascii="宋体" w:hAnsi="宋体"/>
          <w:sz w:val="24"/>
          <w:szCs w:val="24"/>
        </w:rPr>
        <w:t xml:space="preserve">1.乙方根据投保资料协助甲方填写投保单，并完成核保与出单事宜；</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2.乙方并在收到投保单三个工作日内将保单正本和保费发票送达甲方；</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3.甲方在与乙方签订合同后，收到当年保单正本和保费发票后十五个工作日内将保费一次性划入乙方帐户。</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五、其他</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1.甲方应积极配合乙方做好保险宣传、防灾安全和报案理赔工作；乙方应定期对甲方提供有关培训。</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2.如遇重大突发事件发生,成交保险公司应及时介入协助做好理赔工作,并可应采购单位的要求特事特办,在赔付限额标准以上妥善协商解决。</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3.本保险合同有效期间为二年。</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六、合同的组成</w:t>
      </w:r>
      <w:r>
        <w:rPr>
          <w:rFonts w:ascii="宋体" w:hAnsi="宋体"/>
          <w:b/>
          <w:sz w:val="24"/>
        </w:rPr>
      </w:r>
      <w:r/>
    </w:p>
    <w:p>
      <w:pPr>
        <w:pStyle w:val="898"/>
        <w:ind w:firstLine="420"/>
        <w:spacing w:line="360" w:lineRule="auto"/>
        <w:rPr>
          <w:sz w:val="24"/>
          <w:szCs w:val="24"/>
        </w:rPr>
      </w:pPr>
      <w:r>
        <w:rPr>
          <w:rFonts w:hint="eastAsia"/>
          <w:sz w:val="24"/>
          <w:szCs w:val="24"/>
        </w:rPr>
        <w:t xml:space="preserve">下列文件应作为本合同的组成部分：本合同书；招标文件及其附件；响应文件及其附件；成交通知书；投保人的投保材料；投保单、保险单及批改申请书、批单；与本次采购有关的并经当事人双方确认的其他文件。</w:t>
      </w:r>
      <w:r>
        <w:rPr>
          <w:sz w:val="24"/>
          <w:szCs w:val="24"/>
        </w:rPr>
      </w:r>
      <w:r/>
    </w:p>
    <w:p>
      <w:pPr>
        <w:pStyle w:val="898"/>
        <w:ind w:firstLine="482"/>
        <w:spacing w:line="360" w:lineRule="auto"/>
        <w:rPr>
          <w:rFonts w:ascii="宋体" w:hAnsi="宋体"/>
          <w:b/>
          <w:sz w:val="24"/>
        </w:rPr>
      </w:pPr>
      <w:r>
        <w:rPr>
          <w:rFonts w:hint="eastAsia" w:ascii="宋体" w:hAnsi="宋体"/>
          <w:b/>
          <w:sz w:val="24"/>
        </w:rPr>
        <w:t xml:space="preserve">七、理赔服务</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1.设立24小时保险服务专线电话，电话号码：</w:t>
      </w:r>
      <w:r>
        <w:rPr>
          <w:rFonts w:hint="eastAsia" w:ascii="宋体" w:hAnsi="宋体"/>
          <w:sz w:val="24"/>
          <w:szCs w:val="24"/>
          <w:u w:val="single"/>
        </w:rPr>
        <w:t xml:space="preserve">               </w:t>
      </w:r>
      <w:r>
        <w:rPr>
          <w:rFonts w:hint="eastAsia" w:ascii="宋体" w:hAnsi="宋体"/>
          <w:sz w:val="24"/>
          <w:szCs w:val="24"/>
        </w:rPr>
        <w:t xml:space="preserve">，可全年365天随时接受被保险人的出险报案，并立即通知保险公司本项目客户服务专员。</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2.保险公司同意以被保险人提供的损失清单及其他证明材料作为赔付理算依据。</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3.对于不属于保险责任的，同意在接到被保险人赔偿请求后5个工作日内向其发出《拒赔通知书》。</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4.对于不属于保险责任的，保险公司在接到被保险人赔偿请求后没有按规定时间向其发出《拒赔通知书》，则按保险责任处理。</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5.保险公司接到被保险人索赔材料后立即审查核实，若认为有关证明或材料不完整，立刻以书面或口头方式通知被保险人需补充提供的有关证明或材料。若保险公司在接到索赔资料后5个工作日内未给予有关审核意见，则视为认可索赔资料的完整性；</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6.在被保险人提供完整必要的索赔材料后，保险公司应在10个工作日内向被保险人支付赔款。 </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7.如自收到完整的索赔资料之日起10个工作日内未能确定赔偿金额，同意根据已有证明和资料将可以确定的最低赔偿数额先于支付，待最终确定赔偿金额后及时支付相应的差额。</w:t>
      </w:r>
      <w:r>
        <w:rPr>
          <w:rFonts w:ascii="宋体" w:hAnsi="宋体"/>
          <w:sz w:val="24"/>
          <w:szCs w:val="24"/>
        </w:rPr>
      </w:r>
      <w:r/>
    </w:p>
    <w:p>
      <w:pPr>
        <w:pStyle w:val="898"/>
        <w:ind w:firstLine="482"/>
        <w:spacing w:line="360" w:lineRule="auto"/>
        <w:rPr>
          <w:rFonts w:ascii="宋体" w:hAnsi="宋体"/>
          <w:sz w:val="24"/>
        </w:rPr>
      </w:pPr>
      <w:r>
        <w:rPr>
          <w:rFonts w:hint="eastAsia" w:ascii="宋体" w:hAnsi="宋体"/>
          <w:b/>
          <w:sz w:val="24"/>
        </w:rPr>
        <w:t xml:space="preserve">八、保险范围</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（一）保障内容：</w:t>
      </w:r>
      <w:r>
        <w:rPr>
          <w:rFonts w:ascii="宋体" w:hAnsi="宋体"/>
          <w:b/>
          <w:sz w:val="24"/>
        </w:rPr>
      </w:r>
      <w:r/>
    </w:p>
    <w:p>
      <w:pPr>
        <w:pStyle w:val="89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.在保险期间或保险单载明的追溯期内,</w:t>
      </w:r>
      <w:r>
        <w:rPr>
          <w:rFonts w:hint="eastAsia" w:ascii="宋体" w:hAnsi="宋体"/>
          <w:sz w:val="24"/>
        </w:rPr>
        <w:t xml:space="preserve">昆山市中医医院</w:t>
      </w:r>
      <w:r>
        <w:rPr>
          <w:rFonts w:hint="eastAsia" w:ascii="宋体" w:hAnsi="宋体"/>
          <w:sz w:val="24"/>
        </w:rPr>
        <w:t xml:space="preserve">提供专业服务时，由于疏忽或过失造成委托人的经济损失，由委托人在保险期间内首次向</w:t>
      </w:r>
      <w:r>
        <w:rPr>
          <w:rFonts w:hint="eastAsia" w:ascii="宋体" w:hAnsi="宋体"/>
          <w:sz w:val="24"/>
        </w:rPr>
        <w:t xml:space="preserve">昆山市中医医院</w:t>
      </w:r>
      <w:r>
        <w:rPr>
          <w:rFonts w:hint="eastAsia" w:ascii="宋体" w:hAnsi="宋体"/>
          <w:sz w:val="24"/>
        </w:rPr>
        <w:t xml:space="preserve">提出损害赔偿请求，依法应由</w:t>
      </w:r>
      <w:r>
        <w:rPr>
          <w:rFonts w:hint="eastAsia" w:ascii="宋体" w:hAnsi="宋体"/>
          <w:sz w:val="24"/>
        </w:rPr>
        <w:t xml:space="preserve">昆山市中医医院</w:t>
      </w:r>
      <w:r>
        <w:rPr>
          <w:rFonts w:hint="eastAsia" w:ascii="宋体" w:hAnsi="宋体"/>
          <w:sz w:val="24"/>
        </w:rPr>
        <w:t xml:space="preserve">承担的经济赔偿责任，保险公司按照本保险合同约定负责赔偿。</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2.除另有约定外，</w:t>
      </w:r>
      <w:r>
        <w:rPr>
          <w:rFonts w:hint="eastAsia" w:ascii="宋体" w:hAnsi="宋体"/>
          <w:sz w:val="24"/>
        </w:rPr>
        <w:t xml:space="preserve">昆山市中医医院</w:t>
      </w:r>
      <w:r>
        <w:rPr>
          <w:rFonts w:hint="eastAsia" w:ascii="宋体" w:hAnsi="宋体"/>
          <w:sz w:val="24"/>
        </w:rPr>
        <w:t xml:space="preserve">委托的顾问、承包人、分包人或代理人提供专业服务时，由于疏忽或过失造成委托人的经济损失，由委托人在保险期间内首次向被保险人提出损害赔偿请求，依法应由</w:t>
      </w:r>
      <w:r>
        <w:rPr>
          <w:rFonts w:hint="eastAsia" w:ascii="宋体" w:hAnsi="宋体"/>
          <w:sz w:val="24"/>
        </w:rPr>
        <w:t xml:space="preserve">昆山市中医医院</w:t>
      </w:r>
      <w:r>
        <w:rPr>
          <w:rFonts w:hint="eastAsia" w:ascii="宋体" w:hAnsi="宋体"/>
          <w:sz w:val="24"/>
        </w:rPr>
        <w:t xml:space="preserve">承担的经济赔偿责任，保险公司按照本保险合同约定也负责赔偿。</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保险</w:t>
      </w:r>
      <w:r>
        <w:rPr>
          <w:rFonts w:hint="eastAsia" w:ascii="宋体" w:hAnsi="宋体"/>
          <w:b/>
          <w:sz w:val="24"/>
        </w:rPr>
        <w:t xml:space="preserve">方案</w:t>
      </w:r>
      <w:r>
        <w:rPr>
          <w:rFonts w:ascii="宋体" w:hAnsi="宋体"/>
          <w:b/>
          <w:sz w:val="24"/>
        </w:rPr>
        <w:t xml:space="preserve">：</w:t>
      </w:r>
      <w:r/>
    </w:p>
    <w:p>
      <w:pPr>
        <w:pStyle w:val="898"/>
        <w:ind w:firstLine="480"/>
        <w:spacing w:line="360" w:lineRule="auto"/>
        <w:rPr>
          <w:rFonts w:ascii="宋体" w:hAnsi="宋体"/>
          <w:sz w:val="24"/>
        </w:rPr>
      </w:pPr>
      <w:r>
        <w:rPr>
          <w:rFonts w:hint="eastAsia" w:ascii="宋体" w:hAnsi="宋体"/>
          <w:sz w:val="24"/>
        </w:rPr>
        <w:t xml:space="preserve">1.限额：</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医疗责任责任限额（医疗</w:t>
      </w:r>
      <w:r>
        <w:rPr>
          <w:rFonts w:ascii="宋体" w:hAnsi="宋体"/>
          <w:sz w:val="24"/>
        </w:rPr>
        <w:t xml:space="preserve">事故</w:t>
      </w:r>
      <w:r>
        <w:rPr>
          <w:rFonts w:hint="eastAsia" w:ascii="宋体" w:hAnsi="宋体"/>
          <w:sz w:val="24"/>
        </w:rPr>
        <w:t xml:space="preserve">/院内</w:t>
      </w:r>
      <w:r>
        <w:rPr>
          <w:rFonts w:ascii="宋体" w:hAnsi="宋体"/>
          <w:sz w:val="24"/>
        </w:rPr>
        <w:t xml:space="preserve">协商</w:t>
      </w:r>
      <w:r>
        <w:rPr>
          <w:rFonts w:hint="eastAsia" w:ascii="宋体" w:hAnsi="宋体"/>
          <w:sz w:val="24"/>
        </w:rPr>
        <w:t xml:space="preserve">）：每人责任限额：30万元，累计责任限额：240万元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法律费用责任限额：每次事故责任限额：</w:t>
      </w:r>
      <w:r>
        <w:rPr>
          <w:rFonts w:ascii="宋体" w:hAnsi="宋体"/>
          <w:sz w:val="24"/>
        </w:rPr>
        <w:t xml:space="preserve">30</w:t>
      </w:r>
      <w:r>
        <w:rPr>
          <w:rFonts w:hint="eastAsia" w:ascii="宋体" w:hAnsi="宋体"/>
          <w:sz w:val="24"/>
        </w:rPr>
        <w:t xml:space="preserve">万元，累计责任限额：</w:t>
      </w:r>
      <w:r>
        <w:rPr>
          <w:rFonts w:ascii="宋体" w:hAnsi="宋体"/>
          <w:sz w:val="24"/>
        </w:rPr>
        <w:t xml:space="preserve">100</w:t>
      </w:r>
      <w:r>
        <w:rPr>
          <w:rFonts w:hint="eastAsia" w:ascii="宋体" w:hAnsi="宋体"/>
          <w:sz w:val="24"/>
        </w:rPr>
        <w:t xml:space="preserve">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免赔标准：</w:t>
      </w:r>
      <w:r>
        <w:rPr>
          <w:rFonts w:hint="eastAsia" w:ascii="宋体" w:hAnsi="宋体"/>
          <w:sz w:val="24"/>
        </w:rPr>
        <w:t xml:space="preserve">每次事故免赔额 2万，免赔率 </w:t>
      </w:r>
      <w:r>
        <w:rPr>
          <w:rFonts w:ascii="宋体" w:hAnsi="宋体"/>
          <w:sz w:val="24"/>
        </w:rPr>
        <w:t xml:space="preserve">2</w:t>
      </w:r>
      <w:r>
        <w:rPr>
          <w:rFonts w:hint="eastAsia" w:ascii="宋体" w:hAnsi="宋体"/>
          <w:sz w:val="24"/>
        </w:rPr>
        <w:t xml:space="preserve">5%，两者以高者为准</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附加险</w:t>
      </w:r>
      <w:r/>
    </w:p>
    <w:p>
      <w:pPr>
        <w:pStyle w:val="898"/>
        <w:ind w:firstLine="480"/>
        <w:spacing w:line="360" w:lineRule="auto"/>
        <w:rPr>
          <w:rFonts w:ascii="宋体" w:hAnsi="宋体"/>
          <w:sz w:val="24"/>
        </w:rPr>
      </w:pPr>
      <w:r>
        <w:rPr>
          <w:rFonts w:ascii="宋体" w:hAnsi="宋体"/>
          <w:sz w:val="24"/>
        </w:rPr>
        <w:t xml:space="preserve">附加医务人员伤害责任</w:t>
      </w:r>
      <w:r>
        <w:rPr>
          <w:rFonts w:hint="eastAsia" w:ascii="宋体" w:hAnsi="宋体"/>
          <w:sz w:val="24"/>
        </w:rPr>
        <w:t xml:space="preserve">（每人30万元）</w:t>
      </w:r>
      <w:r>
        <w:rPr>
          <w:rFonts w:ascii="宋体" w:hAnsi="宋体"/>
          <w:sz w:val="24"/>
        </w:rPr>
      </w:r>
      <w:r/>
    </w:p>
    <w:p>
      <w:pPr>
        <w:pStyle w:val="898"/>
        <w:ind w:firstLine="480"/>
        <w:spacing w:line="360" w:lineRule="auto"/>
        <w:rPr>
          <w:rFonts w:ascii="宋体" w:hAnsi="宋体"/>
          <w:sz w:val="24"/>
        </w:rPr>
      </w:pPr>
      <w:r>
        <w:rPr>
          <w:rFonts w:ascii="宋体" w:hAnsi="宋体"/>
          <w:sz w:val="24"/>
        </w:rPr>
        <w:t xml:space="preserve">附加医疗机构场所责任</w:t>
      </w:r>
      <w:r>
        <w:rPr>
          <w:rFonts w:hint="eastAsia" w:ascii="宋体" w:hAnsi="宋体"/>
          <w:sz w:val="24"/>
        </w:rPr>
        <w:t xml:space="preserve">（每次30万元）</w:t>
      </w:r>
      <w:r>
        <w:rPr>
          <w:rFonts w:ascii="宋体" w:hAnsi="宋体"/>
          <w:sz w:val="24"/>
        </w:rPr>
      </w:r>
      <w:r/>
    </w:p>
    <w:p>
      <w:pPr>
        <w:pStyle w:val="898"/>
        <w:ind w:firstLine="480"/>
        <w:spacing w:line="360" w:lineRule="auto"/>
        <w:rPr>
          <w:rFonts w:ascii="宋体" w:hAnsi="宋体"/>
          <w:sz w:val="24"/>
        </w:rPr>
      </w:pPr>
      <w:r>
        <w:rPr>
          <w:rFonts w:ascii="宋体" w:hAnsi="宋体"/>
          <w:sz w:val="24"/>
        </w:rPr>
        <w:t xml:space="preserve">附加外请医务人员医疗责任</w:t>
      </w:r>
      <w:r>
        <w:rPr>
          <w:rFonts w:hint="eastAsia" w:ascii="宋体" w:hAnsi="宋体"/>
          <w:sz w:val="24"/>
        </w:rPr>
        <w:t xml:space="preserve">（每人30万元）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4.特别</w:t>
      </w:r>
      <w:r>
        <w:rPr>
          <w:rFonts w:ascii="宋体" w:hAnsi="宋体"/>
          <w:sz w:val="24"/>
        </w:rPr>
        <w:t xml:space="preserve">说明</w:t>
      </w:r>
      <w:r/>
    </w:p>
    <w:p>
      <w:pPr>
        <w:pStyle w:val="898"/>
        <w:ind w:firstLine="480"/>
        <w:spacing w:line="360" w:lineRule="auto"/>
        <w:rPr>
          <w:rFonts w:ascii="宋体" w:hAnsi="宋体"/>
          <w:sz w:val="24"/>
        </w:rPr>
      </w:pPr>
      <w:r>
        <w:rPr>
          <w:rFonts w:hint="eastAsia" w:ascii="宋体" w:hAnsi="宋体"/>
          <w:sz w:val="24"/>
        </w:rPr>
        <w:t xml:space="preserve">4.1医疗事故：指经医疗事故鉴定机构鉴定，或经法院判决的医患纠纷案例。</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医疗损害</w:t>
      </w:r>
      <w:r>
        <w:rPr>
          <w:rFonts w:ascii="宋体" w:hAnsi="宋体"/>
          <w:sz w:val="24"/>
        </w:rPr>
        <w:t xml:space="preserve">赔偿</w:t>
      </w:r>
      <w:r>
        <w:rPr>
          <w:rFonts w:hint="eastAsia" w:ascii="宋体" w:hAnsi="宋体"/>
          <w:sz w:val="24"/>
        </w:rPr>
        <w:t xml:space="preserve">：指发生医疗纠纷后，为方便群众，缩短事故善后处理过程仅由医患双方协商，或经法院调解的医患纠纷案例，</w:t>
      </w:r>
      <w:r>
        <w:rPr>
          <w:rFonts w:ascii="宋体" w:hAnsi="宋体"/>
          <w:sz w:val="24"/>
        </w:rPr>
        <w:t xml:space="preserve">或经昆山市医疗纠纷人民调解委员会</w:t>
      </w:r>
      <w:r>
        <w:rPr>
          <w:rFonts w:hint="eastAsia" w:ascii="宋体" w:hAnsi="宋体"/>
          <w:sz w:val="24"/>
        </w:rPr>
        <w:t xml:space="preserve">调解。保险公司接受医患双方协商的结果，以经</w:t>
      </w:r>
      <w:r>
        <w:rPr>
          <w:rFonts w:ascii="宋体" w:hAnsi="宋体"/>
          <w:sz w:val="24"/>
        </w:rPr>
        <w:t xml:space="preserve">协商或者</w:t>
      </w:r>
      <w:r>
        <w:rPr>
          <w:rFonts w:hint="eastAsia" w:ascii="宋体" w:hAnsi="宋体"/>
          <w:sz w:val="24"/>
        </w:rPr>
        <w:t xml:space="preserve">调解</w:t>
      </w:r>
      <w:r>
        <w:rPr>
          <w:rFonts w:ascii="宋体" w:hAnsi="宋体"/>
          <w:sz w:val="24"/>
        </w:rPr>
        <w:t xml:space="preserve">后达成的相关协议</w:t>
      </w:r>
      <w:r>
        <w:rPr>
          <w:rFonts w:hint="eastAsia" w:ascii="宋体" w:hAnsi="宋体"/>
          <w:sz w:val="24"/>
        </w:rPr>
        <w:t xml:space="preserve">作为理赔依据。</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4.2被保险人减免患者的医疗费用不在本保险范围（因抢救而转院后的医疗费用除外）。</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4.3精神损失赔偿也属于保险范围，但以相关法律规定准则为限。</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4.4本保单保障范围仅限投保时提供的地址，不需提供人员清单，理赔时医务人员执业证或其他材料证明是本院员工即可。</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4.5经双方协商确定：为快速消除纠纷案件对医院日常运营产生的不利影响，对于索赔金额不超5万元的纠纷案件免除事故认定书，由被保险人出具相关情况说明，保险公司按照医院实际承担的金额赔付（不超5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4.6本保单为期内索赔提出式，追溯日期至2018年09月21日，索赔提出时间以被保险人实际支付病患家属的赔款时间为准。</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4.7理赔材料医务处章用印效用等同于医院公章。</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九、违约责任：</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若乙方有下列违约情形，违约一次，予与警告；违约二次，支付5000元违约金，全市通报；违约三次，甲方有权解除本合同，退还未到期的保费，此行为列入不良记录，同时支付20000元违约金，并取消乙方下一次参与</w:t>
      </w:r>
      <w:r>
        <w:rPr>
          <w:rFonts w:hint="eastAsia" w:ascii="宋体" w:hAnsi="宋体"/>
          <w:sz w:val="24"/>
        </w:rPr>
        <w:t xml:space="preserve">昆山市中医医院</w:t>
      </w:r>
      <w:r>
        <w:rPr>
          <w:rFonts w:hint="eastAsia" w:ascii="宋体" w:hAnsi="宋体"/>
          <w:sz w:val="24"/>
        </w:rPr>
        <w:t xml:space="preserve">医疗责任保险的资格。</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1.收到保险具体采购单位或各被保险人对乙方的投诉，经查情况属实；</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2.检查发现投保手续偏离基本服务要求中的“承保服务”部分任何一条，经查情况属实； </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3.检查发现理赔服务手续偏离基本服务要求中的“理赔服务”部分任何一条，经查情况属实；</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十、合同修改</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十二、合同生效及其他</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1.除非合同中另有说明，本合同经甲乙双方法定代表人(法定负责人)或授权代理人签字盖章后生效。</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2.本合同中的附件均为本合同不可分割的部分，与本合同具有同等的法律效力。</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3.本合同一式肆份，甲乙双方各壹份、备案机构和招标代理人各执壹份，各份具有同等法律效力。</w:t>
      </w:r>
      <w:r>
        <w:rPr>
          <w:rFonts w:ascii="宋体" w:hAnsi="宋体"/>
          <w:sz w:val="24"/>
          <w:szCs w:val="24"/>
        </w:rPr>
      </w:r>
      <w:r/>
    </w:p>
    <w:p>
      <w:pPr>
        <w:pStyle w:val="898"/>
        <w:ind w:firstLine="468"/>
        <w:jc w:val="left"/>
        <w:spacing w:line="360" w:lineRule="auto"/>
        <w:rPr>
          <w:rFonts w:hint="eastAsia" w:ascii="宋体" w:hAnsi="宋体" w:cs="宋体"/>
          <w:spacing w:val="-3"/>
          <w:sz w:val="24"/>
          <w:szCs w:val="24"/>
        </w:rPr>
        <w:outlineLvl w:val="0"/>
      </w:pPr>
      <w:r>
        <w:rPr>
          <w:rFonts w:hint="eastAsia" w:ascii="宋体" w:hAnsi="宋体" w:cs="宋体"/>
          <w:spacing w:val="-3"/>
          <w:sz w:val="24"/>
          <w:szCs w:val="24"/>
        </w:rPr>
      </w:r>
      <w:r/>
    </w:p>
    <w:p>
      <w:pPr>
        <w:pStyle w:val="898"/>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甲方：（盖章）                             乙方：（盖章）</w:t>
      </w:r>
      <w:r/>
    </w:p>
    <w:p>
      <w:pPr>
        <w:pStyle w:val="898"/>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法定（授权）代表人：                      法定（授权）代表人：</w:t>
      </w:r>
      <w:r/>
    </w:p>
    <w:p>
      <w:pPr>
        <w:pStyle w:val="898"/>
        <w:ind w:firstLine="468"/>
        <w:jc w:val="left"/>
        <w:spacing w:line="480" w:lineRule="auto"/>
        <w:widowControl/>
        <w:rPr>
          <w:rFonts w:hint="eastAsia" w:ascii="宋体" w:hAnsi="宋体"/>
          <w:b/>
          <w:sz w:val="32"/>
          <w:szCs w:val="32"/>
        </w:rPr>
      </w:pPr>
      <w:r>
        <w:rPr>
          <w:rFonts w:hint="eastAsia" w:ascii="宋体" w:hAnsi="宋体" w:cs="宋体"/>
          <w:spacing w:val="-3"/>
          <w:sz w:val="24"/>
          <w:szCs w:val="24"/>
        </w:rPr>
        <w:t xml:space="preserve">签订日期：    年   月   日</w:t>
      </w:r>
      <w:r>
        <w:rPr>
          <w:rFonts w:hint="eastAsia" w:ascii="宋体" w:hAnsi="宋体"/>
          <w:b/>
          <w:sz w:val="32"/>
          <w:szCs w:val="32"/>
        </w:rPr>
      </w:r>
      <w:r/>
    </w:p>
    <w:p>
      <w:pPr>
        <w:pStyle w:val="898"/>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99"/>
        <w:numPr>
          <w:ilvl w:val="0"/>
          <w:numId w:val="9"/>
        </w:numPr>
        <w:spacing w:line="360" w:lineRule="auto"/>
        <w:tabs>
          <w:tab w:val="left" w:pos="405" w:leader="none"/>
          <w:tab w:val="left" w:pos="420" w:leader="none"/>
        </w:tabs>
        <w:rPr>
          <w:rFonts w:hint="eastAsia" w:ascii="宋体" w:hAnsi="宋体"/>
          <w:b/>
        </w:rPr>
      </w:pPr>
      <w:r/>
      <w:bookmarkStart w:id="98" w:name="_Toc161591375"/>
      <w:r>
        <w:rPr>
          <w:rFonts w:hint="eastAsia" w:ascii="宋体" w:hAnsi="宋体"/>
          <w:b/>
        </w:rPr>
        <w:t xml:space="preserve">评标办法</w:t>
      </w:r>
      <w:bookmarkEnd w:id="98"/>
      <w:r>
        <w:rPr>
          <w:rFonts w:hint="eastAsia" w:ascii="宋体" w:hAnsi="宋体"/>
          <w:b/>
        </w:rPr>
      </w:r>
      <w:r/>
    </w:p>
    <w:p>
      <w:pPr>
        <w:pStyle w:val="898"/>
        <w:ind w:firstLine="420"/>
        <w:spacing w:line="360" w:lineRule="auto"/>
        <w:rPr>
          <w:rFonts w:ascii="宋体" w:hAnsi="宋体"/>
          <w:sz w:val="24"/>
          <w:szCs w:val="24"/>
        </w:rPr>
      </w:pPr>
      <w:r>
        <w:rPr>
          <w:rFonts w:ascii="宋体" w:hAnsi="宋体"/>
          <w:sz w:val="24"/>
          <w:szCs w:val="24"/>
        </w:rPr>
        <w:t xml:space="preserve">一、评审办法</w:t>
      </w:r>
      <w:r/>
    </w:p>
    <w:p>
      <w:pPr>
        <w:pStyle w:val="898"/>
        <w:ind w:firstLine="420"/>
        <w:spacing w:line="360" w:lineRule="auto"/>
        <w:rPr>
          <w:rFonts w:hint="eastAsia"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10分钟。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p>
    <w:p>
      <w:pPr>
        <w:pStyle w:val="898"/>
        <w:ind w:firstLine="420"/>
        <w:spacing w:line="360" w:lineRule="auto"/>
        <w:rPr>
          <w:rFonts w:hint="eastAsia"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pStyle w:val="898"/>
        <w:ind w:firstLine="420"/>
        <w:spacing w:line="360" w:lineRule="auto"/>
        <w:rPr>
          <w:rFonts w:hint="eastAsia"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pStyle w:val="898"/>
        <w:ind w:firstLine="420"/>
        <w:spacing w:line="360" w:lineRule="auto"/>
        <w:rPr>
          <w:rFonts w:hint="eastAsia"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pStyle w:val="898"/>
        <w:ind w:firstLine="420"/>
        <w:spacing w:line="360" w:lineRule="auto"/>
        <w:rPr>
          <w:rFonts w:hint="eastAsia" w:ascii="宋体" w:hAnsi="宋体"/>
          <w:sz w:val="24"/>
          <w:szCs w:val="24"/>
        </w:rPr>
      </w:pPr>
      <w:r>
        <w:rPr>
          <w:rFonts w:hint="eastAsia" w:ascii="宋体" w:hAnsi="宋体"/>
          <w:sz w:val="24"/>
          <w:szCs w:val="24"/>
        </w:rPr>
        <w:t xml:space="preserve">二、采购政策</w:t>
      </w:r>
      <w:r/>
    </w:p>
    <w:p>
      <w:pPr>
        <w:pStyle w:val="898"/>
        <w:ind w:firstLine="420"/>
        <w:spacing w:line="360" w:lineRule="auto"/>
        <w:rPr>
          <w:rFonts w:ascii="宋体" w:hAnsi="宋体"/>
          <w:sz w:val="24"/>
        </w:rPr>
      </w:pPr>
      <w:r>
        <w:rPr>
          <w:rFonts w:hint="eastAsia" w:ascii="宋体" w:hAnsi="宋体"/>
          <w:sz w:val="24"/>
        </w:rPr>
        <w:t xml:space="preserve">1.针对小微型企业、残疾人福利性单位及监狱单位的评审：</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1.1根据《政府采购促进中小企业发展办法》（财库〔2020〕46号）的相关规定，对属于小型、微型企业的供应商给予价格扣除：</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898"/>
        <w:ind w:firstLine="420"/>
        <w:spacing w:line="360" w:lineRule="auto"/>
        <w:rPr>
          <w:rFonts w:ascii="宋体" w:hAnsi="宋体"/>
          <w:sz w:val="24"/>
        </w:rPr>
      </w:pPr>
      <w:r>
        <w:rPr>
          <w:rFonts w:hint="eastAsia" w:ascii="宋体" w:hAnsi="宋体"/>
          <w:sz w:val="24"/>
        </w:rPr>
        <w:t xml:space="preserve">1.2残疾人福利性单位</w:t>
      </w:r>
      <w:r>
        <w:rPr>
          <w:rFonts w:ascii="宋体" w:hAnsi="宋体"/>
          <w:sz w:val="24"/>
        </w:rPr>
      </w:r>
      <w:r/>
    </w:p>
    <w:p>
      <w:pPr>
        <w:pStyle w:val="898"/>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pStyle w:val="898"/>
        <w:ind w:firstLine="420"/>
        <w:spacing w:line="360" w:lineRule="auto"/>
        <w:rPr>
          <w:rFonts w:ascii="宋体" w:hAnsi="宋体"/>
          <w:sz w:val="24"/>
        </w:rPr>
      </w:pPr>
      <w:r>
        <w:rPr>
          <w:rFonts w:hint="eastAsia" w:ascii="宋体" w:hAnsi="宋体"/>
          <w:sz w:val="24"/>
        </w:rPr>
        <w:t xml:space="preserve">1.3监狱企业</w:t>
      </w:r>
      <w:r>
        <w:rPr>
          <w:rFonts w:ascii="宋体" w:hAnsi="宋体"/>
          <w:sz w:val="24"/>
        </w:rPr>
      </w:r>
      <w:r/>
    </w:p>
    <w:p>
      <w:pPr>
        <w:pStyle w:val="898"/>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pStyle w:val="898"/>
        <w:ind w:firstLine="420"/>
        <w:spacing w:line="360" w:lineRule="auto"/>
        <w:rPr>
          <w:rFonts w:ascii="宋体" w:hAnsi="宋体"/>
          <w:b/>
          <w:sz w:val="24"/>
        </w:rPr>
      </w:pPr>
      <w:r>
        <w:rPr>
          <w:rFonts w:hint="eastAsia" w:ascii="宋体" w:hAnsi="宋体"/>
          <w:b/>
          <w:sz w:val="24"/>
        </w:rPr>
        <w:t xml:space="preserve">1.4大中型企业与小微企业组成联合体，对于联合协议（文件格式可做参考，投标单位可根据实际合同份额比例自拟填写）约定小微企业的合同份额占到合同总金额30%以上的，对联合体的报价给予6%的扣除，用扣除后的价格参加评审。</w:t>
      </w:r>
      <w:r>
        <w:rPr>
          <w:rFonts w:ascii="宋体" w:hAnsi="宋体"/>
          <w:b/>
          <w:sz w:val="24"/>
        </w:rPr>
      </w:r>
      <w:r/>
    </w:p>
    <w:p>
      <w:pPr>
        <w:pStyle w:val="898"/>
        <w:ind w:firstLine="42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898"/>
        <w:ind w:firstLine="420"/>
        <w:spacing w:line="360" w:lineRule="auto"/>
        <w:rPr>
          <w:rFonts w:hint="eastAsia" w:ascii="宋体" w:hAnsi="宋体"/>
          <w:b/>
          <w:sz w:val="24"/>
        </w:rPr>
      </w:pPr>
      <w:r>
        <w:rPr>
          <w:rFonts w:hint="eastAsia" w:ascii="宋体" w:hAnsi="宋体"/>
          <w:b/>
          <w:sz w:val="24"/>
        </w:rPr>
        <w:t xml:space="preserve">3.若供应商提供的《中小企业声明函》、《残疾人福利性单位声明函》及监狱企业认定证明等材料为虚假材料，按《政府采购法》相关规定处理并报请政府采购监管部门给予行政处罚。</w:t>
      </w:r>
      <w:r/>
    </w:p>
    <w:p>
      <w:pPr>
        <w:pStyle w:val="898"/>
        <w:ind w:firstLine="42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jc w:val="center"/>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898"/>
              <w:jc w:val="center"/>
              <w:rPr>
                <w:rFonts w:ascii="宋体" w:hAnsi="宋体"/>
                <w:sz w:val="24"/>
                <w:szCs w:val="24"/>
              </w:rPr>
            </w:pPr>
            <w:r>
              <w:rPr>
                <w:rFonts w:hint="eastAsia" w:ascii="宋体" w:hAnsi="宋体"/>
                <w:sz w:val="24"/>
                <w:szCs w:val="24"/>
              </w:rPr>
              <w:t xml:space="preserve">是否合格</w:t>
            </w:r>
            <w:r>
              <w:rPr>
                <w:rFonts w:ascii="宋体" w:hAnsi="宋体"/>
                <w:sz w:val="24"/>
                <w:szCs w:val="24"/>
              </w:rPr>
            </w:r>
            <w:r/>
          </w:p>
          <w:p>
            <w:pPr>
              <w:pStyle w:val="898"/>
              <w:jc w:val="center"/>
              <w:spacing w:line="360" w:lineRule="auto"/>
              <w:rPr>
                <w:rFonts w:ascii="宋体" w:hAnsi="宋体"/>
                <w:sz w:val="24"/>
                <w:szCs w:val="24"/>
              </w:rPr>
            </w:pPr>
            <w:r>
              <w:rPr>
                <w:rFonts w:hint="eastAsia" w:ascii="宋体" w:hAnsi="宋体"/>
                <w:sz w:val="24"/>
                <w:szCs w:val="24"/>
              </w:rPr>
              <w:t xml:space="preserve">（是/否）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98"/>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2.谈判采购内容及</w:t>
            </w:r>
            <w:r>
              <w:rPr>
                <w:rFonts w:ascii="宋体" w:hAnsi="宋体"/>
                <w:sz w:val="24"/>
                <w:szCs w:val="24"/>
              </w:rPr>
              <w:t xml:space="preserve">要求符合性</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3.服务期</w:t>
            </w:r>
            <w:r>
              <w:rPr>
                <w:rFonts w:ascii="宋体" w:hAnsi="宋体"/>
                <w:sz w:val="24"/>
                <w:szCs w:val="24"/>
              </w:rPr>
              <w:t xml:space="preserve">、付款、合同内容等其他综合内容承诺</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bl>
    <w:p>
      <w:pPr>
        <w:pStyle w:val="898"/>
        <w:ind w:firstLine="420"/>
        <w:spacing w:line="360" w:lineRule="auto"/>
        <w:rPr>
          <w:rFonts w:hint="eastAsia" w:ascii="宋体" w:hAnsi="宋体"/>
          <w:b/>
        </w:rPr>
      </w:pPr>
      <w:r>
        <w:rPr>
          <w:rFonts w:ascii="仿宋_GB2312" w:eastAsia="仿宋_GB2312"/>
          <w:b/>
          <w:sz w:val="24"/>
        </w:rPr>
        <w:br w:type="page" w:clear="all"/>
      </w:r>
      <w:r>
        <w:rPr>
          <w:rFonts w:hint="eastAsia" w:ascii="宋体" w:hAnsi="宋体"/>
          <w:b/>
        </w:rPr>
      </w:r>
      <w:r/>
    </w:p>
    <w:p>
      <w:pPr>
        <w:pStyle w:val="899"/>
        <w:numPr>
          <w:ilvl w:val="0"/>
          <w:numId w:val="9"/>
        </w:numPr>
        <w:spacing w:line="360" w:lineRule="auto"/>
        <w:tabs>
          <w:tab w:val="left" w:pos="405" w:leader="none"/>
          <w:tab w:val="left" w:pos="420" w:leader="none"/>
        </w:tabs>
        <w:rPr>
          <w:rFonts w:hint="eastAsia" w:ascii="宋体" w:hAnsi="宋体"/>
          <w:b/>
        </w:rPr>
      </w:pPr>
      <w:r>
        <w:rPr>
          <w:rFonts w:hint="eastAsia" w:ascii="宋体" w:hAnsi="宋体"/>
          <w:b/>
        </w:rPr>
        <w:t xml:space="preserve"> </w:t>
      </w:r>
      <w:bookmarkStart w:id="99" w:name="_Toc161591376"/>
      <w:r>
        <w:rPr>
          <w:rFonts w:hint="eastAsia" w:ascii="宋体" w:hAnsi="宋体"/>
          <w:b/>
        </w:rPr>
        <w:t xml:space="preserve">附件</w:t>
      </w:r>
      <w:bookmarkEnd w:id="99"/>
      <w:r/>
      <w:bookmarkStart w:id="100" w:name="gpcItem_SubmitDocStruct"/>
      <w:r>
        <w:rPr>
          <w:rFonts w:ascii="宋体" w:hAnsi="宋体"/>
          <w:b/>
        </w:rPr>
        <w:t xml:space="preserve">  </w:t>
      </w:r>
      <w:bookmarkEnd w:id="100"/>
      <w:r>
        <w:rPr>
          <w:rFonts w:hint="eastAsia" w:ascii="宋体" w:hAnsi="宋体"/>
          <w:b/>
        </w:rPr>
      </w:r>
      <w:r/>
    </w:p>
    <w:p>
      <w:pPr>
        <w:pStyle w:val="898"/>
        <w:rPr>
          <w:rFonts w:hint="eastAsia" w:ascii="仿宋_GB2312" w:eastAsia="仿宋_GB2312"/>
          <w:sz w:val="28"/>
        </w:rPr>
      </w:pPr>
      <w:r>
        <w:rPr>
          <w:rFonts w:hint="eastAsia" w:ascii="仿宋_GB2312" w:eastAsia="仿宋_GB2312"/>
          <w:sz w:val="28"/>
        </w:rPr>
        <w:t xml:space="preserve">投标文档结构表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686"/>
        <w:gridCol w:w="4075"/>
      </w:tblGrid>
      <w:tr>
        <w:trPr/>
        <w:tc>
          <w:tcPr>
            <w:tcW w:w="1242" w:type="dxa"/>
            <w:vAlign w:val="center"/>
            <w:textDirection w:val="lrTb"/>
            <w:noWrap w:val="false"/>
          </w:tcPr>
          <w:p>
            <w:pPr>
              <w:pStyle w:val="898"/>
              <w:jc w:val="center"/>
              <w:rPr>
                <w:rFonts w:hint="eastAsia" w:ascii="宋体" w:hAnsi="宋体"/>
                <w:sz w:val="24"/>
              </w:rPr>
            </w:pPr>
            <w:r/>
            <w:bookmarkStart w:id="101" w:name="gpcItem_tenderStruct2"/>
            <w:r>
              <w:rPr>
                <w:rFonts w:hint="eastAsia" w:ascii="宋体" w:hAnsi="宋体"/>
                <w:sz w:val="24"/>
              </w:rPr>
              <w:t xml:space="preserve">标书名称</w:t>
            </w:r>
            <w:r/>
          </w:p>
        </w:tc>
        <w:tc>
          <w:tcPr>
            <w:tcW w:w="3686" w:type="dxa"/>
            <w:vAlign w:val="center"/>
            <w:textDirection w:val="lrTb"/>
            <w:noWrap w:val="false"/>
          </w:tcPr>
          <w:p>
            <w:pPr>
              <w:pStyle w:val="898"/>
              <w:jc w:val="center"/>
              <w:rPr>
                <w:rFonts w:hint="eastAsia" w:ascii="宋体" w:hAnsi="宋体"/>
                <w:sz w:val="24"/>
              </w:rPr>
            </w:pPr>
            <w:r>
              <w:rPr>
                <w:rFonts w:hint="eastAsia" w:ascii="宋体" w:hAnsi="宋体"/>
                <w:sz w:val="24"/>
              </w:rPr>
              <w:t xml:space="preserve">文档名称</w:t>
            </w:r>
            <w:r/>
          </w:p>
        </w:tc>
        <w:tc>
          <w:tcPr>
            <w:tcW w:w="4075"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标题名称</w:t>
            </w:r>
            <w:r/>
          </w:p>
        </w:tc>
      </w:tr>
      <w:tr>
        <w:trPr>
          <w:cantSplit/>
        </w:trPr>
        <w:tc>
          <w:tcPr>
            <w:tcW w:w="1242" w:type="dxa"/>
            <w:vAlign w:val="center"/>
            <w:vMerge w:val="restart"/>
            <w:textDirection w:val="lrTb"/>
            <w:noWrap w:val="false"/>
          </w:tcPr>
          <w:p>
            <w:pPr>
              <w:pStyle w:val="898"/>
              <w:jc w:val="center"/>
              <w:rPr>
                <w:rFonts w:hint="eastAsia" w:ascii="宋体" w:hAnsi="宋体"/>
                <w:sz w:val="24"/>
              </w:rPr>
            </w:pPr>
            <w:r>
              <w:rPr>
                <w:rFonts w:hint="eastAsia" w:ascii="宋体" w:hAnsi="宋体"/>
                <w:sz w:val="24"/>
              </w:rPr>
              <w:t xml:space="preserve">标书结构</w:t>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1：供应商情况表</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"_附件1：供应商情况表"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1：供应商情况表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2：谈判响应函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"_附件2：谈判响应函"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2：谈判响应函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3：谈判承诺函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"_附件3：谈判承诺函"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3：谈判承诺函</w:t>
            </w:r>
            <w:r>
              <w:rPr>
                <w:rFonts w:ascii="宋体" w:hAnsi="宋体"/>
                <w:sz w:val="24"/>
                <w:szCs w:val="24"/>
              </w:rPr>
              <w:fldChar w:fldCharType="end"/>
            </w:r>
            <w:r>
              <w:rPr>
                <w:rFonts w:hint="eastAsia" w:ascii="宋体" w:hAnsi="宋体"/>
                <w:sz w:val="24"/>
                <w:szCs w:val="24"/>
              </w:rPr>
            </w:r>
            <w:r/>
          </w:p>
        </w:tc>
      </w:tr>
      <w:tr>
        <w:trPr>
          <w:cantSplit/>
          <w:trHeight w:val="223"/>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4：中小企业声明函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"_附件4：中小企业声明函"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4：中小企业声明函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5：残疾人福利性单位声明函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"_附件5：残疾人福利性单位声明函"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5：残疾人福利性单位声明函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6：法定代表人授权委托书:</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"_附件6：法定代表人授权委托书:" </w:instrText>
            </w:r>
            <w:r>
              <w:rPr>
                <w:rFonts w:ascii="宋体" w:hAnsi="宋体"/>
                <w:sz w:val="24"/>
                <w:szCs w:val="24"/>
              </w:rPr>
              <w:fldChar w:fldCharType="separate"/>
            </w:r>
            <w:r>
              <w:rPr>
                <w:rFonts w:hint="eastAsia" w:ascii="宋体" w:hAnsi="宋体"/>
                <w:sz w:val="24"/>
                <w:szCs w:val="24"/>
              </w:rPr>
              <w:t xml:space="preserve">附件</w:t>
            </w:r>
            <w:r>
              <w:rPr>
                <w:rFonts w:ascii="宋体" w:hAnsi="宋体"/>
                <w:sz w:val="24"/>
                <w:szCs w:val="24"/>
              </w:rPr>
              <w:t xml:space="preserve">6：法定代表人授权委托书:</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p>
        </w:tc>
        <w:tc>
          <w:tcPr>
            <w:tcW w:w="4075" w:type="dxa"/>
            <w:vAlign w:val="center"/>
            <w:textDirection w:val="lrTb"/>
            <w:noWrap w:val="false"/>
          </w:tcPr>
          <w:p>
            <w:pPr>
              <w:pStyle w:val="898"/>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979"/>
                <w:rFonts w:hint="eastAsia" w:ascii="宋体" w:hAnsi="宋体"/>
                <w:color w:val="000000"/>
                <w:sz w:val="24"/>
                <w:szCs w:val="24"/>
                <w:u w:val="none"/>
              </w:rPr>
              <w:t xml:space="preserve">附件10</w:t>
            </w:r>
            <w:r>
              <w:rPr>
                <w:rStyle w:val="979"/>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979"/>
                <w:rFonts w:hint="eastAsia" w:ascii="宋体" w:hAnsi="宋体"/>
                <w:color w:val="000000"/>
                <w:sz w:val="24"/>
                <w:szCs w:val="24"/>
                <w:u w:val="none"/>
              </w:rPr>
              <w:t xml:space="preserve">附件10</w:t>
            </w:r>
            <w:r>
              <w:rPr>
                <w:rStyle w:val="979"/>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1</w:t>
            </w:r>
            <w:r>
              <w:rPr>
                <w:rStyle w:val="979"/>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1</w:t>
            </w:r>
            <w:r>
              <w:rPr>
                <w:rStyle w:val="979"/>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2</w:t>
            </w:r>
            <w:r>
              <w:rPr>
                <w:rStyle w:val="979"/>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2</w:t>
            </w:r>
            <w:r>
              <w:rPr>
                <w:rStyle w:val="979"/>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900"/>
              <w:rPr>
                <w:b w:val="0"/>
                <w:szCs w:val="21"/>
              </w:rPr>
            </w:pPr>
            <w:r>
              <w:rPr>
                <w:b w:val="0"/>
                <w:szCs w:val="21"/>
              </w:rPr>
              <w:t xml:space="preserve">附件</w:t>
            </w:r>
            <w:r>
              <w:rPr>
                <w:rFonts w:hint="eastAsia"/>
                <w:b w:val="0"/>
                <w:szCs w:val="21"/>
              </w:rPr>
              <w:t xml:space="preserve">13、类似保险项目理赔经验表</w:t>
            </w:r>
            <w:r>
              <w:rPr>
                <w:b w:val="0"/>
                <w:szCs w:val="21"/>
              </w:rPr>
            </w:r>
            <w:r/>
          </w:p>
        </w:tc>
        <w:tc>
          <w:tcPr>
            <w:tcW w:w="4075" w:type="dxa"/>
            <w:vAlign w:val="center"/>
            <w:textDirection w:val="lrTb"/>
            <w:noWrap w:val="false"/>
          </w:tcPr>
          <w:p>
            <w:pPr>
              <w:pStyle w:val="900"/>
              <w:rPr>
                <w:b w:val="0"/>
                <w:szCs w:val="21"/>
              </w:rPr>
            </w:pPr>
            <w:r>
              <w:rPr>
                <w:b w:val="0"/>
                <w:szCs w:val="21"/>
              </w:rPr>
              <w:t xml:space="preserve">附件</w:t>
            </w:r>
            <w:r>
              <w:rPr>
                <w:rFonts w:hint="eastAsia"/>
                <w:b w:val="0"/>
                <w:szCs w:val="21"/>
              </w:rPr>
              <w:t xml:space="preserve">13、类似保险项目理赔经验表</w:t>
            </w:r>
            <w:r>
              <w:rPr>
                <w:b w:val="0"/>
                <w:szCs w:val="21"/>
              </w:rPr>
            </w:r>
            <w:r/>
          </w:p>
        </w:tc>
      </w:tr>
    </w:tbl>
    <w:p>
      <w:pPr>
        <w:pStyle w:val="898"/>
        <w:rPr>
          <w:rFonts w:hint="eastAsia"/>
        </w:rPr>
      </w:pPr>
      <w:r/>
      <w:bookmarkEnd w:id="101"/>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9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02" w:name="_附件1：（谈判方）法定代表人授权委托书"/>
      <w:r/>
      <w:bookmarkEnd w:id="102"/>
      <w:r/>
      <w:bookmarkStart w:id="103" w:name="_附件1：供应商情况表"/>
      <w:r/>
      <w:bookmarkEnd w:id="103"/>
      <w:r/>
      <w:bookmarkStart w:id="104" w:name="_Ref499899149"/>
      <w:r/>
      <w:bookmarkStart w:id="105" w:name="_Toc519686649"/>
      <w:r/>
      <w:bookmarkStart w:id="106" w:name="_Toc500143975"/>
      <w:r/>
      <w:bookmarkStart w:id="107" w:name="_Ref10712456"/>
      <w:r/>
      <w:bookmarkStart w:id="108" w:name="_Toc37495968"/>
      <w:r/>
      <w:bookmarkStart w:id="109" w:name="_Ref15302730"/>
      <w:r/>
      <w:bookmarkStart w:id="110" w:name="_Toc126766153"/>
      <w:r/>
      <w:bookmarkStart w:id="111" w:name="_Toc37496118"/>
      <w:r/>
      <w:bookmarkStart w:id="112" w:name="_Toc126763167"/>
      <w:r/>
      <w:bookmarkStart w:id="113" w:name="_Ref477865927"/>
      <w:r>
        <w:rPr>
          <w:szCs w:val="21"/>
        </w:rPr>
      </w:r>
      <w:r/>
    </w:p>
    <w:p>
      <w:pPr>
        <w:pStyle w:val="900"/>
        <w:rPr>
          <w:szCs w:val="21"/>
        </w:rPr>
      </w:pPr>
      <w:r/>
      <w:bookmarkStart w:id="114" w:name="_Toc161591377"/>
      <w:r>
        <w:rPr>
          <w:szCs w:val="21"/>
        </w:rPr>
        <w:t xml:space="preserve">附件1：</w:t>
      </w:r>
      <w:bookmarkEnd w:id="104"/>
      <w:r/>
      <w:bookmarkEnd w:id="105"/>
      <w:r/>
      <w:bookmarkEnd w:id="106"/>
      <w:r/>
      <w:bookmarkEnd w:id="107"/>
      <w:r>
        <w:rPr>
          <w:szCs w:val="21"/>
        </w:rPr>
        <w:t xml:space="preserve">供应商情况表</w:t>
      </w:r>
      <w:bookmarkEnd w:id="108"/>
      <w:r/>
      <w:bookmarkEnd w:id="109"/>
      <w:r/>
      <w:bookmarkEnd w:id="110"/>
      <w:r/>
      <w:bookmarkEnd w:id="111"/>
      <w:r/>
      <w:bookmarkEnd w:id="112"/>
      <w:r/>
      <w:bookmarkEnd w:id="114"/>
      <w:r>
        <w:rPr>
          <w:szCs w:val="21"/>
        </w:rPr>
      </w:r>
      <w:r/>
    </w:p>
    <w:p>
      <w:pPr>
        <w:pStyle w:val="898"/>
        <w:jc w:val="center"/>
        <w:rPr>
          <w:szCs w:val="21"/>
        </w:rPr>
      </w:pPr>
      <w:r>
        <w:rPr>
          <w:rFonts w:hint="eastAsia"/>
          <w:szCs w:val="21"/>
        </w:rPr>
        <w:t xml:space="preserve">供应商情况表</w:t>
      </w:r>
      <w:r>
        <w:rPr>
          <w:szCs w:val="21"/>
        </w:rPr>
      </w:r>
      <w:r/>
    </w:p>
    <w:p>
      <w:pPr>
        <w:pStyle w:val="898"/>
        <w:spacing w:line="300" w:lineRule="auto"/>
        <w:rPr>
          <w:rFonts w:ascii="宋体" w:hAnsi="宋体"/>
          <w:szCs w:val="21"/>
        </w:rPr>
      </w:pPr>
      <w:r>
        <w:rPr>
          <w:rFonts w:ascii="宋体" w:hAnsi="宋体"/>
          <w:szCs w:val="21"/>
        </w:rPr>
        <w:t xml:space="preserve">单位名称（加盖公章）：</w:t>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15"/>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15"/>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15"/>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rPr>
                <w:rFonts w:ascii="宋体" w:hAnsi="宋体" w:eastAsia="宋体"/>
                <w:b/>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898"/>
              <w:rPr>
                <w:szCs w:val="21"/>
              </w:rPr>
            </w:pPr>
            <w:r>
              <w:rPr>
                <w:rFonts w:hint="eastAsia"/>
                <w:szCs w:val="21"/>
              </w:rPr>
              <w:t xml:space="preserve">单位从业人员数量</w:t>
            </w:r>
            <w:r>
              <w:rPr>
                <w:szCs w:val="21"/>
              </w:rPr>
            </w:r>
            <w:r/>
          </w:p>
        </w:tc>
        <w:tc>
          <w:tcPr>
            <w:gridSpan w:val="3"/>
            <w:tcBorders>
              <w:left w:val="single" w:color="000000" w:sz="4" w:space="0"/>
            </w:tcBorders>
            <w:tcW w:w="2773" w:type="dxa"/>
            <w:vAlign w:val="center"/>
            <w:textDirection w:val="lrTb"/>
            <w:noWrap w:val="false"/>
          </w:tcPr>
          <w:p>
            <w:pPr>
              <w:pStyle w:val="91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bookmarkEnd w:id="113"/>
      <w:r/>
      <w:bookmarkStart w:id="115" w:name="_Ref507166820"/>
      <w:r/>
      <w:bookmarkStart w:id="116" w:name="_Toc519686651"/>
      <w:r/>
      <w:bookmarkStart w:id="117" w:name="_Ref15302737"/>
      <w:r/>
      <w:bookmarkStart w:id="118" w:name="_Ref376770270"/>
      <w:r/>
      <w:bookmarkStart w:id="119" w:name="_Ref477865930"/>
      <w:r/>
      <w:bookmarkStart w:id="120" w:name="_Toc500143977"/>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szCs w:val="21"/>
        </w:rPr>
      </w:pPr>
      <w:r/>
      <w:bookmarkStart w:id="121" w:name="_附件2：谈判响应函"/>
      <w:r/>
      <w:bookmarkEnd w:id="121"/>
      <w:r/>
      <w:bookmarkStart w:id="122" w:name="_Toc126766154"/>
      <w:r/>
      <w:bookmarkStart w:id="123" w:name="_Ref33617519"/>
      <w:r/>
      <w:bookmarkStart w:id="124" w:name="_Toc161591378"/>
      <w:r/>
      <w:bookmarkStart w:id="125" w:name="_Toc126763168"/>
      <w:r/>
      <w:bookmarkStart w:id="126" w:name="_Toc37495969"/>
      <w:r/>
      <w:bookmarkStart w:id="127" w:name="_Toc37496119"/>
      <w:r>
        <w:rPr>
          <w:szCs w:val="21"/>
        </w:rPr>
        <w:t xml:space="preserve">附件2：</w:t>
      </w:r>
      <w:bookmarkEnd w:id="115"/>
      <w:r/>
      <w:bookmarkEnd w:id="116"/>
      <w:r>
        <w:rPr>
          <w:rFonts w:hint="eastAsia"/>
          <w:szCs w:val="21"/>
        </w:rPr>
        <w:t xml:space="preserve">谈判</w:t>
      </w:r>
      <w:r>
        <w:rPr>
          <w:szCs w:val="21"/>
        </w:rPr>
        <w:t xml:space="preserve">响应函</w:t>
      </w:r>
      <w:bookmarkEnd w:id="117"/>
      <w:r/>
      <w:bookmarkEnd w:id="122"/>
      <w:r/>
      <w:bookmarkEnd w:id="123"/>
      <w:r/>
      <w:bookmarkEnd w:id="124"/>
      <w:r/>
      <w:bookmarkEnd w:id="125"/>
      <w:r/>
      <w:bookmarkEnd w:id="126"/>
      <w:r/>
      <w:bookmarkEnd w:id="127"/>
      <w:r>
        <w:rPr>
          <w:szCs w:val="21"/>
        </w:rPr>
      </w:r>
      <w:r/>
    </w:p>
    <w:p>
      <w:pPr>
        <w:pStyle w:val="898"/>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pStyle w:val="898"/>
        <w:spacing w:line="360" w:lineRule="auto"/>
        <w:rPr>
          <w:rFonts w:ascii="宋体" w:hAnsi="宋体"/>
          <w:szCs w:val="21"/>
        </w:rPr>
      </w:pPr>
      <w:r>
        <w:rPr>
          <w:rFonts w:hint="eastAsia" w:ascii="宋体" w:hAnsi="宋体"/>
          <w:szCs w:val="21"/>
          <w:u w:val="single"/>
        </w:rPr>
        <w:t xml:space="preserve">昆山市中医医院</w:t>
      </w:r>
      <w:r>
        <w:rPr>
          <w:rFonts w:ascii="宋体" w:hAnsi="宋体"/>
          <w:szCs w:val="21"/>
        </w:rPr>
        <w:t xml:space="preserve">：</w:t>
      </w:r>
      <w:r/>
    </w:p>
    <w:p>
      <w:pPr>
        <w:pStyle w:val="898"/>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98"/>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rPr>
          <w:rFonts w:ascii="宋体" w:hAnsi="宋体"/>
          <w:szCs w:val="21"/>
        </w:rPr>
      </w:r>
      <w:r/>
    </w:p>
    <w:p>
      <w:pPr>
        <w:pStyle w:val="898"/>
        <w:ind w:firstLine="420"/>
        <w:jc w:val="left"/>
        <w:spacing w:line="360" w:lineRule="auto"/>
        <w:rPr>
          <w:rFonts w:ascii="宋体" w:hAnsi="宋体"/>
        </w:rPr>
      </w:pPr>
      <w:r>
        <w:rPr>
          <w:rFonts w:hint="eastAsia" w:ascii="宋体" w:hAnsi="宋体"/>
        </w:rPr>
        <w:t xml:space="preserve">2.我方具有良好的商业信誉和健全的财务会计制度；</w:t>
      </w:r>
      <w:r>
        <w:rPr>
          <w:rFonts w:ascii="宋体" w:hAnsi="宋体"/>
        </w:rPr>
      </w:r>
      <w:r/>
    </w:p>
    <w:p>
      <w:pPr>
        <w:pStyle w:val="898"/>
        <w:ind w:firstLine="420"/>
        <w:jc w:val="left"/>
        <w:spacing w:line="360" w:lineRule="auto"/>
        <w:rPr>
          <w:rFonts w:ascii="宋体" w:hAnsi="宋体"/>
        </w:rPr>
      </w:pPr>
      <w:r>
        <w:rPr>
          <w:rFonts w:hint="eastAsia" w:ascii="宋体" w:hAnsi="宋体"/>
        </w:rPr>
        <w:t xml:space="preserve">3.我方具有依法缴纳税收和社会保障资金的良好记录；</w:t>
      </w:r>
      <w:r>
        <w:rPr>
          <w:rFonts w:ascii="宋体" w:hAnsi="宋体"/>
        </w:rPr>
      </w:r>
      <w:r/>
    </w:p>
    <w:p>
      <w:pPr>
        <w:pStyle w:val="898"/>
        <w:ind w:firstLine="420"/>
        <w:jc w:val="left"/>
        <w:spacing w:line="360" w:lineRule="auto"/>
        <w:rPr>
          <w:rFonts w:ascii="宋体" w:hAnsi="宋体"/>
        </w:rPr>
      </w:pPr>
      <w:r>
        <w:rPr>
          <w:rFonts w:hint="eastAsia" w:ascii="宋体" w:hAnsi="宋体"/>
        </w:rPr>
        <w:t xml:space="preserve">4.我方具有履行合同所必需的设备和专业技术能力；</w:t>
      </w:r>
      <w:r>
        <w:rPr>
          <w:rFonts w:ascii="宋体" w:hAnsi="宋体"/>
        </w:rPr>
      </w:r>
      <w:r/>
    </w:p>
    <w:p>
      <w:pPr>
        <w:pStyle w:val="898"/>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szCs w:val="21"/>
        </w:rPr>
        <w:t xml:space="preserve">6.我方符合法律、行政法规规定的其他条件；</w:t>
      </w:r>
      <w:r/>
    </w:p>
    <w:p>
      <w:pPr>
        <w:pStyle w:val="898"/>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8.我方同意按采购文件中的规定，响应文件的有效期限为开标后三个月；</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pStyle w:val="898"/>
        <w:ind w:firstLine="420"/>
        <w:spacing w:line="360" w:lineRule="auto"/>
        <w:rPr>
          <w:rFonts w:ascii="宋体" w:hAnsi="宋体"/>
          <w:szCs w:val="21"/>
        </w:rPr>
      </w:pPr>
      <w:r>
        <w:rPr>
          <w:rFonts w:hint="eastAsia" w:ascii="宋体" w:hAnsi="宋体"/>
          <w:szCs w:val="21"/>
        </w:rPr>
        <w:t xml:space="preserve">10.我方最后报价含服务过程所发生的全部费用。</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所有有关响应文件的函电，请按下列地址联系：</w:t>
      </w:r>
      <w:r/>
    </w:p>
    <w:p>
      <w:pPr>
        <w:pStyle w:val="898"/>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pStyle w:val="898"/>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98"/>
        <w:ind w:firstLine="420"/>
        <w:jc w:val="right"/>
        <w:spacing w:line="360" w:lineRule="auto"/>
        <w:rPr>
          <w:rFonts w:ascii="宋体" w:hAnsi="宋体"/>
          <w:szCs w:val="21"/>
        </w:rPr>
      </w:pPr>
      <w:r>
        <w:rPr>
          <w:rFonts w:ascii="宋体" w:hAnsi="宋体"/>
          <w:szCs w:val="21"/>
        </w:rPr>
        <w:t xml:space="preserve">法定代表人或被授权人：（签字或盖章）</w:t>
      </w:r>
      <w:r/>
    </w:p>
    <w:p>
      <w:pPr>
        <w:pStyle w:val="898"/>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900"/>
        <w:rPr>
          <w:szCs w:val="21"/>
        </w:rPr>
      </w:pPr>
      <w:r/>
      <w:bookmarkStart w:id="128" w:name="_附件3：谈判承诺函"/>
      <w:r/>
      <w:bookmarkEnd w:id="128"/>
      <w:r/>
      <w:bookmarkStart w:id="129" w:name="_Toc37495970"/>
      <w:r/>
      <w:bookmarkStart w:id="130" w:name="_Toc37496120"/>
      <w:r/>
      <w:bookmarkStart w:id="131" w:name="_Ref35960980"/>
      <w:r/>
      <w:bookmarkStart w:id="132" w:name="_Toc161591379"/>
      <w:r/>
      <w:bookmarkStart w:id="133" w:name="_Toc126766155"/>
      <w:r/>
      <w:bookmarkStart w:id="134" w:name="_Toc126763169"/>
      <w:r>
        <w:rPr>
          <w:szCs w:val="21"/>
        </w:rPr>
        <w:t xml:space="preserve">附件3：</w:t>
      </w:r>
      <w:r>
        <w:rPr>
          <w:rFonts w:hint="eastAsia"/>
          <w:szCs w:val="21"/>
        </w:rPr>
        <w:t xml:space="preserve">谈判承诺函</w:t>
      </w:r>
      <w:bookmarkEnd w:id="129"/>
      <w:r/>
      <w:bookmarkEnd w:id="130"/>
      <w:r/>
      <w:bookmarkEnd w:id="131"/>
      <w:r/>
      <w:bookmarkEnd w:id="132"/>
      <w:r/>
      <w:bookmarkEnd w:id="133"/>
      <w:r/>
      <w:bookmarkEnd w:id="134"/>
      <w:r>
        <w:rPr>
          <w:szCs w:val="21"/>
        </w:rPr>
      </w:r>
      <w:r/>
    </w:p>
    <w:p>
      <w:pPr>
        <w:pStyle w:val="898"/>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昆山市中医医院</w:t>
      </w:r>
      <w:r>
        <w:rPr>
          <w:rFonts w:ascii="宋体" w:hAnsi="宋体"/>
          <w:szCs w:val="21"/>
        </w:rPr>
      </w:r>
      <w:r/>
    </w:p>
    <w:p>
      <w:pPr>
        <w:pStyle w:val="898"/>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898"/>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898"/>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r>
      <w:r/>
    </w:p>
    <w:p>
      <w:pPr>
        <w:pStyle w:val="898"/>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98"/>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98"/>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rPr>
          <w:szCs w:val="21"/>
        </w:rPr>
      </w:pPr>
      <w:r>
        <w:rPr>
          <w:szCs w:val="21"/>
        </w:rPr>
      </w:r>
      <w:r/>
    </w:p>
    <w:p>
      <w:pPr>
        <w:pStyle w:val="900"/>
        <w:rPr>
          <w:szCs w:val="21"/>
        </w:rPr>
      </w:pPr>
      <w:r/>
      <w:bookmarkEnd w:id="118"/>
      <w:r/>
      <w:bookmarkEnd w:id="119"/>
      <w:r/>
      <w:bookmarkEnd w:id="120"/>
      <w:r/>
      <w:bookmarkStart w:id="135" w:name="_附件4：中小企业声明函"/>
      <w:r/>
      <w:bookmarkEnd w:id="135"/>
      <w:r/>
      <w:bookmarkStart w:id="136" w:name="_Ref33617527"/>
      <w:r/>
      <w:bookmarkStart w:id="137" w:name="_Toc37495971"/>
      <w:r/>
      <w:bookmarkStart w:id="138" w:name="_Toc126766156"/>
      <w:r/>
      <w:bookmarkStart w:id="139" w:name="_Toc161591380"/>
      <w:r/>
      <w:bookmarkStart w:id="140" w:name="_Toc126763170"/>
      <w:r/>
      <w:bookmarkStart w:id="141" w:name="_Toc37496121"/>
      <w:r>
        <w:rPr>
          <w:szCs w:val="21"/>
        </w:rPr>
        <w:t xml:space="preserve">附件4：中小企业声明函</w:t>
      </w:r>
      <w:bookmarkEnd w:id="136"/>
      <w:r/>
      <w:bookmarkEnd w:id="137"/>
      <w:r/>
      <w:bookmarkEnd w:id="138"/>
      <w:r/>
      <w:bookmarkEnd w:id="139"/>
      <w:r/>
      <w:bookmarkEnd w:id="140"/>
      <w:r/>
      <w:bookmarkEnd w:id="141"/>
      <w:r>
        <w:rPr>
          <w:szCs w:val="21"/>
        </w:rPr>
      </w:r>
      <w:r/>
    </w:p>
    <w:p>
      <w:pPr>
        <w:pStyle w:val="898"/>
        <w:jc w:val="center"/>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b/>
          <w:bCs/>
          <w:szCs w:val="21"/>
        </w:rPr>
        <w:t xml:space="preserve">中小企业声明函</w:t>
      </w:r>
      <w:r>
        <w:rPr>
          <w:rFonts w:ascii="Arial" w:hAnsi="Arial" w:cs="Arial"/>
          <w:szCs w:val="21"/>
        </w:rPr>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 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Arial" w:hAnsi="Arial" w:cs="Arial"/>
          <w:szCs w:val="21"/>
        </w:rPr>
      </w:r>
      <w:r/>
    </w:p>
    <w:p>
      <w:pPr>
        <w:pStyle w:val="898"/>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（谈判文件中明确的所属行业）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rPr>
          <w:rFonts w:ascii="Arial" w:hAnsi="Arial" w:cs="Arial"/>
          <w:szCs w:val="21"/>
        </w:rPr>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rPr>
          <w:rFonts w:ascii="Arial" w:hAnsi="Arial" w:cs="Arial"/>
          <w:szCs w:val="21"/>
        </w:rPr>
      </w:r>
      <w:r/>
    </w:p>
    <w:p>
      <w:pPr>
        <w:pStyle w:val="1297"/>
        <w:ind w:firstLine="480"/>
        <w:spacing w:line="360" w:lineRule="auto"/>
        <w:rPr>
          <w:rFonts w:hAnsi="宋体" w:eastAsia="宋体"/>
          <w:sz w:val="21"/>
          <w:szCs w:val="21"/>
        </w:rPr>
      </w:pPr>
      <w:r>
        <w:rPr>
          <w:rFonts w:hAnsi="宋体" w:cs="Arial"/>
          <w:sz w:val="24"/>
        </w:rPr>
        <w:t xml:space="preserve"> </w:t>
      </w:r>
      <w:r>
        <w:rPr>
          <w:rFonts w:hAnsi="宋体" w:eastAsia="宋体"/>
          <w:sz w:val="21"/>
          <w:szCs w:val="21"/>
        </w:rPr>
        <w:t xml:space="preserve">注：1.从业人员、营业收入、资产总额填报上一年度数据，无上一年度数据的新成立企业可不填报。</w:t>
      </w:r>
      <w:r/>
    </w:p>
    <w:p>
      <w:pPr>
        <w:pStyle w:val="1297"/>
        <w:spacing w:line="360" w:lineRule="auto"/>
        <w:rPr>
          <w:rFonts w:hAnsi="宋体" w:eastAsia="宋体"/>
          <w:b/>
          <w:sz w:val="21"/>
          <w:szCs w:val="21"/>
        </w:rPr>
      </w:pPr>
      <w:r>
        <w:rPr>
          <w:rFonts w:hAnsi="宋体" w:eastAsia="宋体"/>
          <w:b/>
          <w:sz w:val="21"/>
          <w:szCs w:val="21"/>
        </w:rPr>
        <w:t xml:space="preserve">       </w:t>
      </w:r>
      <w:r>
        <w:rPr>
          <w:rFonts w:hAnsi="宋体" w:eastAsia="宋体"/>
          <w:b/>
          <w:sz w:val="21"/>
          <w:szCs w:val="21"/>
        </w:rPr>
        <w:t xml:space="preserve">2.本次招标项目所属行业为其他未列明行业。中小微企业划型标准请根据《中小企业划型标准规定》（工信部联企业〔2011〕300号）。</w:t>
      </w:r>
      <w:r>
        <w:rPr>
          <w:rFonts w:hAnsi="宋体" w:eastAsia="宋体"/>
          <w:b/>
          <w:sz w:val="21"/>
          <w:szCs w:val="21"/>
        </w:rPr>
      </w:r>
      <w:r/>
    </w:p>
    <w:p>
      <w:pPr>
        <w:pStyle w:val="898"/>
        <w:ind w:firstLine="480"/>
        <w:jc w:val="left"/>
        <w:spacing w:before="100" w:beforeAutospacing="1" w:after="100" w:afterAutospacing="1" w:line="435" w:lineRule="atLeast"/>
        <w:shd w:val="clear" w:color="auto" w:fill="ffffff"/>
        <w:widowControl/>
        <w:rPr>
          <w:rFonts w:ascii="Arial" w:hAnsi="Arial" w:cs="Arial"/>
          <w:szCs w:val="21"/>
        </w:rPr>
      </w:pPr>
      <w:r>
        <w:rPr>
          <w:rFonts w:ascii="Arial" w:hAnsi="Arial" w:cs="Arial"/>
          <w:szCs w:val="21"/>
        </w:rPr>
      </w:r>
      <w:r/>
    </w:p>
    <w:p>
      <w:pPr>
        <w:pStyle w:val="898"/>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供应商（盖章）：</w:t>
      </w:r>
      <w:r>
        <w:rPr>
          <w:rFonts w:ascii="Arial" w:hAnsi="Arial" w:cs="Arial"/>
          <w:szCs w:val="21"/>
        </w:rPr>
      </w:r>
      <w:r/>
    </w:p>
    <w:p>
      <w:pPr>
        <w:pStyle w:val="898"/>
        <w:jc w:val="left"/>
        <w:spacing w:before="100" w:beforeAutospacing="1" w:after="100" w:afterAutospacing="1" w:line="435" w:lineRule="atLeast"/>
        <w:shd w:val="clear" w:color="auto" w:fill="ffffff"/>
        <w:widowControl/>
        <w:rPr>
          <w:rFonts w:ascii="宋体" w:hAnsi="宋体"/>
          <w:szCs w:val="21"/>
        </w:rPr>
      </w:pPr>
      <w:r>
        <w:rPr>
          <w:rFonts w:hint="eastAsia" w:ascii="宋体" w:hAnsi="宋体" w:cs="Arial"/>
          <w:sz w:val="24"/>
        </w:rPr>
        <w:t xml:space="preserve">                                           日 期：</w:t>
      </w:r>
      <w:r>
        <w:rPr>
          <w:rFonts w:ascii="宋体" w:hAnsi="宋体"/>
          <w:szCs w:val="21"/>
        </w:rPr>
      </w:r>
      <w:r/>
    </w:p>
    <w:p>
      <w:pPr>
        <w:pStyle w:val="898"/>
        <w:ind w:firstLine="420"/>
        <w:jc w:val="left"/>
        <w:spacing w:line="360" w:lineRule="auto"/>
        <w:rPr>
          <w:rFonts w:hint="eastAsia" w:ascii="宋体" w:hAnsi="宋体" w:cs="宋体"/>
          <w:szCs w:val="21"/>
        </w:rPr>
      </w:pPr>
      <w:r>
        <w:rPr>
          <w:rFonts w:hint="eastAsia" w:ascii="宋体" w:hAnsi="宋体" w:cs="宋体"/>
          <w:szCs w:val="21"/>
        </w:rPr>
      </w:r>
      <w:r/>
    </w:p>
    <w:p>
      <w:pPr>
        <w:pStyle w:val="898"/>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pStyle w:val="898"/>
        <w:ind w:firstLine="420"/>
        <w:spacing w:line="360" w:lineRule="exact"/>
        <w:rPr>
          <w:rFonts w:ascii="宋体" w:hAnsi="宋体" w:cs="宋体"/>
          <w:bCs/>
          <w:szCs w:val="21"/>
        </w:rPr>
      </w:pPr>
      <w:r>
        <w:rPr>
          <w:rFonts w:hint="eastAsia" w:ascii="宋体" w:hAnsi="宋体" w:cs="宋体"/>
          <w:bCs/>
          <w:szCs w:val="21"/>
        </w:rPr>
        <w:t xml:space="preserve">附件</w:t>
      </w:r>
      <w:r>
        <w:rPr>
          <w:rFonts w:ascii="宋体" w:hAnsi="宋体" w:cs="宋体"/>
          <w:bCs/>
          <w:szCs w:val="21"/>
        </w:rPr>
      </w:r>
      <w:r/>
    </w:p>
    <w:p>
      <w:pPr>
        <w:pStyle w:val="898"/>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rPr>
          <w:rFonts w:ascii="宋体" w:hAnsi="宋体" w:cs="宋体"/>
          <w:szCs w:val="21"/>
        </w:rPr>
      </w:r>
      <w:r/>
    </w:p>
    <w:p>
      <w:pPr>
        <w:pStyle w:val="898"/>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四、各行业划型标准为：</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五、企业类型的划分以统计部门的统计数据为依据。</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rPr>
          <w:rFonts w:ascii="宋体" w:hAnsi="宋体" w:cs="宋体"/>
          <w:szCs w:val="21"/>
        </w:rPr>
      </w:r>
      <w:r/>
    </w:p>
    <w:p>
      <w:pPr>
        <w:pStyle w:val="898"/>
        <w:ind w:firstLine="420"/>
        <w:jc w:val="left"/>
        <w:rPr>
          <w:rFonts w:hint="eastAsia"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szCs w:val="21"/>
        </w:rPr>
      </w:r>
      <w:r/>
    </w:p>
    <w:p>
      <w:pPr>
        <w:pStyle w:val="898"/>
        <w:rPr>
          <w:szCs w:val="21"/>
        </w:rPr>
      </w:pPr>
      <w:r>
        <w:rPr>
          <w:szCs w:val="21"/>
        </w:rPr>
      </w:r>
      <w:r/>
    </w:p>
    <w:p>
      <w:pPr>
        <w:pStyle w:val="900"/>
        <w:rPr>
          <w:szCs w:val="21"/>
        </w:rPr>
      </w:pPr>
      <w:r/>
      <w:bookmarkStart w:id="142" w:name="_附件5：残疾人福利性单位声明函"/>
      <w:r/>
      <w:bookmarkEnd w:id="142"/>
      <w:r/>
      <w:bookmarkStart w:id="143" w:name="_Toc161591381"/>
      <w:r/>
      <w:bookmarkStart w:id="144" w:name="_Toc37496122"/>
      <w:r/>
      <w:bookmarkStart w:id="145" w:name="_Toc126766157"/>
      <w:r/>
      <w:bookmarkStart w:id="146" w:name="_Toc126763171"/>
      <w:r/>
      <w:bookmarkStart w:id="147" w:name="_Toc37495972"/>
      <w:r/>
      <w:bookmarkStart w:id="148" w:name="_Ref33617531"/>
      <w:r>
        <w:rPr>
          <w:szCs w:val="21"/>
        </w:rPr>
        <w:t xml:space="preserve">附件5：残疾人福利性单位声明函</w:t>
      </w:r>
      <w:bookmarkEnd w:id="143"/>
      <w:r/>
      <w:bookmarkEnd w:id="144"/>
      <w:r/>
      <w:bookmarkEnd w:id="145"/>
      <w:r/>
      <w:bookmarkEnd w:id="146"/>
      <w:r/>
      <w:bookmarkEnd w:id="147"/>
      <w:r/>
      <w:bookmarkEnd w:id="148"/>
      <w:r>
        <w:rPr>
          <w:szCs w:val="21"/>
        </w:rPr>
      </w:r>
      <w:r/>
    </w:p>
    <w:p>
      <w:pPr>
        <w:pStyle w:val="1295"/>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1295"/>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295"/>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295"/>
        <w:ind w:firstLine="425"/>
        <w:jc w:val="left"/>
        <w:spacing w:line="360" w:lineRule="auto"/>
        <w:rPr>
          <w:rFonts w:hAnsi="宋体" w:eastAsia="宋体"/>
          <w:sz w:val="21"/>
          <w:szCs w:val="21"/>
        </w:rPr>
      </w:pPr>
      <w:r>
        <w:rPr>
          <w:rFonts w:hAnsi="宋体" w:eastAsia="宋体"/>
          <w:sz w:val="21"/>
          <w:szCs w:val="21"/>
        </w:rPr>
      </w:r>
      <w:r/>
    </w:p>
    <w:p>
      <w:pPr>
        <w:pStyle w:val="898"/>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98"/>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898"/>
        <w:jc w:val="right"/>
        <w:spacing w:line="360" w:lineRule="auto"/>
        <w:rPr>
          <w:szCs w:val="21"/>
        </w:rPr>
      </w:pPr>
      <w:r>
        <w:rPr>
          <w:b/>
          <w:bCs/>
          <w:szCs w:val="21"/>
        </w:rPr>
        <w:br w:type="page" w:clear="all"/>
      </w:r>
      <w:r>
        <w:rPr>
          <w:szCs w:val="21"/>
        </w:rPr>
      </w:r>
      <w:r/>
    </w:p>
    <w:p>
      <w:pPr>
        <w:pStyle w:val="900"/>
        <w:rPr>
          <w:szCs w:val="21"/>
        </w:rPr>
      </w:pPr>
      <w:r/>
      <w:bookmarkStart w:id="149" w:name="_附件6：法定代表人授权委托书:"/>
      <w:r/>
      <w:bookmarkEnd w:id="149"/>
      <w:r/>
      <w:bookmarkStart w:id="150" w:name="_Ref33617535"/>
      <w:r/>
      <w:bookmarkStart w:id="151" w:name="_Toc126766158"/>
      <w:r/>
      <w:bookmarkStart w:id="152" w:name="_Toc37496123"/>
      <w:r/>
      <w:bookmarkStart w:id="153" w:name="_Toc161591382"/>
      <w:r/>
      <w:bookmarkStart w:id="154" w:name="_Toc126763172"/>
      <w:r/>
      <w:bookmarkStart w:id="155" w:name="_Toc37495973"/>
      <w:r>
        <w:rPr>
          <w:szCs w:val="21"/>
        </w:rPr>
        <w:t xml:space="preserve">附件6：法定代表人授权委托书:</w:t>
      </w:r>
      <w:bookmarkEnd w:id="150"/>
      <w:r/>
      <w:bookmarkEnd w:id="151"/>
      <w:r/>
      <w:bookmarkEnd w:id="152"/>
      <w:r/>
      <w:bookmarkEnd w:id="153"/>
      <w:r/>
      <w:bookmarkEnd w:id="154"/>
      <w:r/>
      <w:bookmarkEnd w:id="155"/>
      <w:r>
        <w:rPr>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898"/>
        <w:spacing w:line="360" w:lineRule="auto"/>
        <w:rPr>
          <w:rFonts w:ascii="宋体" w:hAnsi="宋体"/>
          <w:szCs w:val="21"/>
        </w:rPr>
      </w:pPr>
      <w:r>
        <w:rPr>
          <w:rFonts w:hint="eastAsia" w:ascii="宋体" w:hAnsi="宋体"/>
          <w:szCs w:val="21"/>
          <w:u w:val="single"/>
        </w:rPr>
        <w:t xml:space="preserve">昆山市中医医院</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代理人：                            职务：</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身份证号码：                        联系电话：</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代理人签字：                       法定代表人签字或盖章：</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98"/>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szCs w:val="21"/>
        </w:rPr>
      </w:pPr>
      <w:r/>
      <w:bookmarkStart w:id="156" w:name="_附件7：开标一览表"/>
      <w:r/>
      <w:bookmarkEnd w:id="156"/>
      <w:r/>
      <w:bookmarkStart w:id="157" w:name="_Ref376770274"/>
      <w:r/>
      <w:bookmarkStart w:id="158" w:name="_Toc500143978"/>
      <w:r/>
      <w:bookmarkStart w:id="159" w:name="_Toc519686653"/>
      <w:r/>
      <w:bookmarkStart w:id="160" w:name="_Toc161591383"/>
      <w:r/>
      <w:bookmarkStart w:id="161" w:name="_Toc126763173"/>
      <w:r/>
      <w:bookmarkStart w:id="162" w:name="_Toc37496124"/>
      <w:r/>
      <w:bookmarkStart w:id="163" w:name="_Toc126766159"/>
      <w:r/>
      <w:bookmarkStart w:id="164" w:name="_Ref15302750"/>
      <w:r/>
      <w:bookmarkStart w:id="165" w:name="_Toc37495974"/>
      <w:r>
        <w:rPr>
          <w:szCs w:val="21"/>
        </w:rPr>
        <w:t xml:space="preserve">附件7：</w:t>
      </w:r>
      <w:bookmarkEnd w:id="157"/>
      <w:r/>
      <w:bookmarkEnd w:id="158"/>
      <w:r/>
      <w:bookmarkEnd w:id="159"/>
      <w:r>
        <w:rPr>
          <w:rFonts w:hint="eastAsia"/>
          <w:szCs w:val="21"/>
        </w:rPr>
        <w:t xml:space="preserve">关于响应文件的声明函</w:t>
      </w:r>
      <w:bookmarkEnd w:id="160"/>
      <w:r>
        <w:rPr>
          <w:szCs w:val="21"/>
        </w:rPr>
      </w:r>
      <w:r/>
    </w:p>
    <w:p>
      <w:pPr>
        <w:pStyle w:val="898"/>
      </w:pPr>
      <w:r/>
      <w:r/>
    </w:p>
    <w:p>
      <w:pPr>
        <w:pStyle w:val="898"/>
      </w:pPr>
      <w:r/>
      <w:r/>
    </w:p>
    <w:p>
      <w:pPr>
        <w:pStyle w:val="915"/>
        <w:ind w:firstLine="0"/>
        <w:spacing w:before="60" w:after="60"/>
        <w:rPr>
          <w:rFonts w:ascii="宋体" w:hAnsi="宋体" w:eastAsia="宋体"/>
          <w:sz w:val="21"/>
          <w:szCs w:val="21"/>
        </w:rPr>
      </w:pPr>
      <w:r>
        <w:rPr>
          <w:rFonts w:ascii="宋体" w:hAnsi="宋体" w:eastAsia="宋体"/>
          <w:sz w:val="21"/>
          <w:szCs w:val="21"/>
        </w:rPr>
      </w:r>
      <w:r/>
    </w:p>
    <w:p>
      <w:pPr>
        <w:pStyle w:val="915"/>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关于响应文件的声明函</w:t>
      </w:r>
      <w:r>
        <w:rPr>
          <w:rFonts w:ascii="宋体" w:hAnsi="宋体" w:eastAsia="宋体"/>
          <w:sz w:val="21"/>
          <w:szCs w:val="21"/>
        </w:rPr>
      </w:r>
      <w:r/>
    </w:p>
    <w:p>
      <w:pPr>
        <w:pStyle w:val="915"/>
        <w:jc w:val="center"/>
        <w:spacing w:before="60" w:after="60" w:line="360" w:lineRule="auto"/>
        <w:rPr>
          <w:rFonts w:ascii="宋体" w:hAnsi="宋体" w:eastAsia="宋体"/>
          <w:sz w:val="21"/>
          <w:szCs w:val="21"/>
        </w:rPr>
      </w:pPr>
      <w:r>
        <w:rPr>
          <w:rFonts w:ascii="宋体" w:hAnsi="宋体" w:eastAsia="宋体"/>
          <w:sz w:val="21"/>
          <w:szCs w:val="21"/>
        </w:rPr>
      </w:r>
      <w:r/>
    </w:p>
    <w:p>
      <w:pPr>
        <w:pStyle w:val="915"/>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915"/>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898"/>
        <w:ind w:firstLine="420"/>
        <w:spacing w:line="360" w:lineRule="auto"/>
        <w:rPr>
          <w:rFonts w:ascii="宋体" w:hAnsi="宋体" w:cs="宋体"/>
          <w:szCs w:val="21"/>
          <w:lang w:val="zh-CN"/>
        </w:rPr>
      </w:pPr>
      <w:r>
        <w:rPr>
          <w:rFonts w:hint="eastAsia" w:ascii="宋体" w:hAnsi="宋体" w:cs="宋体"/>
          <w:szCs w:val="21"/>
          <w:lang w:val="zh-CN"/>
        </w:rPr>
        <w:t xml:space="preserve">供应商：（单位盖章）</w:t>
      </w:r>
      <w:r>
        <w:rPr>
          <w:rFonts w:ascii="宋体" w:hAnsi="宋体" w:cs="宋体"/>
          <w:szCs w:val="21"/>
          <w:lang w:val="zh-CN"/>
        </w:rPr>
      </w:r>
      <w:r/>
    </w:p>
    <w:p>
      <w:pPr>
        <w:pStyle w:val="898"/>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rPr>
          <w:rFonts w:ascii="宋体" w:hAnsi="宋体" w:cs="宋体"/>
          <w:szCs w:val="21"/>
          <w:lang w:val="zh-CN"/>
        </w:rPr>
      </w:r>
      <w:r/>
    </w:p>
    <w:p>
      <w:pPr>
        <w:pStyle w:val="898"/>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pStyle w:val="898"/>
      </w:pPr>
      <w:r/>
      <w:r/>
    </w:p>
    <w:p>
      <w:pPr>
        <w:pStyle w:val="898"/>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900"/>
        <w:rPr>
          <w:szCs w:val="21"/>
        </w:rPr>
      </w:pPr>
      <w:r/>
      <w:bookmarkStart w:id="166" w:name="_Toc161591384"/>
      <w:r>
        <w:rPr>
          <w:szCs w:val="21"/>
        </w:rPr>
        <w:t xml:space="preserve">附件8</w:t>
      </w:r>
      <w:r>
        <w:rPr>
          <w:rFonts w:hint="eastAsia"/>
          <w:szCs w:val="21"/>
        </w:rPr>
        <w:t xml:space="preserve">开标一览表</w:t>
      </w:r>
      <w:bookmarkEnd w:id="161"/>
      <w:r/>
      <w:bookmarkEnd w:id="162"/>
      <w:r/>
      <w:bookmarkEnd w:id="163"/>
      <w:r/>
      <w:bookmarkEnd w:id="164"/>
      <w:r/>
      <w:bookmarkEnd w:id="165"/>
      <w:r/>
      <w:bookmarkEnd w:id="166"/>
      <w:r>
        <w:rPr>
          <w:szCs w:val="21"/>
        </w:rPr>
      </w:r>
      <w:r/>
    </w:p>
    <w:p>
      <w:pPr>
        <w:pStyle w:val="900"/>
        <w:rPr>
          <w:szCs w:val="21"/>
        </w:rPr>
      </w:pPr>
      <w:r>
        <w:rPr>
          <w:szCs w:val="21"/>
        </w:rPr>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以苏采云系统自动生成为准。</w:t>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rFonts w:hint="eastAsia"/>
          <w:szCs w:val="21"/>
        </w:rPr>
      </w:pPr>
      <w:r/>
      <w:bookmarkStart w:id="167" w:name="_附件8：报价分析表"/>
      <w:r/>
      <w:bookmarkEnd w:id="167"/>
      <w:r/>
      <w:bookmarkStart w:id="168" w:name="_Toc161591385"/>
      <w:r/>
      <w:bookmarkStart w:id="169" w:name="_Ref477865934"/>
      <w:r/>
      <w:bookmarkStart w:id="170" w:name="_Ref15304724"/>
      <w:r/>
      <w:bookmarkStart w:id="171" w:name="_Toc500143979"/>
      <w:r/>
      <w:bookmarkStart w:id="172" w:name="_Toc519686654"/>
      <w:r/>
      <w:bookmarkStart w:id="173" w:name="_Toc37495975"/>
      <w:r/>
      <w:bookmarkStart w:id="174" w:name="_Toc126766160"/>
      <w:r/>
      <w:bookmarkStart w:id="175" w:name="_Toc37496125"/>
      <w:r/>
      <w:bookmarkStart w:id="176" w:name="_Toc126763174"/>
      <w:r>
        <w:rPr>
          <w:szCs w:val="21"/>
        </w:rPr>
        <w:t xml:space="preserve">附件</w:t>
      </w:r>
      <w:r>
        <w:rPr>
          <w:rFonts w:hint="eastAsia"/>
          <w:szCs w:val="21"/>
        </w:rPr>
        <w:t xml:space="preserve">9</w:t>
      </w:r>
      <w:r>
        <w:rPr>
          <w:szCs w:val="21"/>
        </w:rPr>
        <w:t xml:space="preserve">：</w:t>
      </w:r>
      <w:bookmarkEnd w:id="168"/>
      <w:r/>
      <w:bookmarkEnd w:id="169"/>
      <w:r/>
      <w:bookmarkEnd w:id="170"/>
      <w:r/>
      <w:bookmarkEnd w:id="171"/>
      <w:r/>
      <w:bookmarkEnd w:id="172"/>
      <w:r/>
      <w:bookmarkEnd w:id="173"/>
      <w:r/>
      <w:bookmarkEnd w:id="174"/>
      <w:r/>
      <w:bookmarkEnd w:id="175"/>
      <w:r/>
      <w:bookmarkEnd w:id="176"/>
      <w:r>
        <w:rPr>
          <w:rFonts w:ascii="Segoe UI" w:hAnsi="Segoe UI" w:cs="Segoe UI"/>
          <w:szCs w:val="21"/>
        </w:rPr>
        <w:t xml:space="preserve">谈判报价分析表</w:t>
      </w:r>
      <w:r>
        <w:rPr>
          <w:rFonts w:hint="eastAsia"/>
          <w:szCs w:val="21"/>
        </w:rPr>
      </w:r>
      <w:r/>
    </w:p>
    <w:p>
      <w:pPr>
        <w:pStyle w:val="1294"/>
        <w:ind w:left="-210" w:right="-210"/>
        <w:jc w:val="center"/>
        <w:spacing w:line="360" w:lineRule="auto"/>
        <w:rPr>
          <w:rFonts w:hAnsi="宋体" w:eastAsia="宋体" w:cs="宋体"/>
          <w:sz w:val="24"/>
        </w:rPr>
      </w:pPr>
      <w:r>
        <w:rPr>
          <w:rFonts w:hAnsi="宋体" w:eastAsia="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34"/>
        <w:gridCol w:w="1050"/>
        <w:gridCol w:w="1651"/>
        <w:gridCol w:w="1649"/>
        <w:gridCol w:w="1313"/>
      </w:tblGrid>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序号</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投入项目及费用名称</w:t>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数量/年度</w:t>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单价</w:t>
            </w:r>
            <w:r/>
          </w:p>
          <w:p>
            <w:pPr>
              <w:pStyle w:val="1305"/>
              <w:jc w:val="center"/>
              <w:rPr>
                <w:rFonts w:hAnsi="宋体" w:eastAsia="宋体"/>
                <w:sz w:val="21"/>
                <w:szCs w:val="21"/>
              </w:rPr>
            </w:pPr>
            <w:r>
              <w:rPr>
                <w:rFonts w:hAnsi="宋体" w:eastAsia="宋体"/>
                <w:sz w:val="21"/>
                <w:szCs w:val="21"/>
              </w:rPr>
              <w:t xml:space="preserve">（单位：元）</w:t>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总价</w:t>
            </w:r>
            <w:r/>
          </w:p>
          <w:p>
            <w:pPr>
              <w:pStyle w:val="1305"/>
              <w:jc w:val="center"/>
              <w:rPr>
                <w:rFonts w:hAnsi="宋体" w:eastAsia="宋体"/>
                <w:sz w:val="21"/>
                <w:szCs w:val="21"/>
              </w:rPr>
            </w:pPr>
            <w:r>
              <w:rPr>
                <w:rFonts w:hAnsi="宋体" w:eastAsia="宋体"/>
                <w:sz w:val="21"/>
                <w:szCs w:val="21"/>
              </w:rPr>
              <w:t xml:space="preserve">（单位：元）</w:t>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备注</w:t>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1</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2</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bl>
    <w:p>
      <w:pPr>
        <w:pStyle w:val="941"/>
        <w:ind w:firstLine="420"/>
        <w:spacing w:line="400" w:lineRule="exact"/>
        <w:rPr>
          <w:rFonts w:hint="eastAsia" w:hAnsi="宋体" w:eastAsia="宋体"/>
          <w:sz w:val="21"/>
          <w:szCs w:val="21"/>
        </w:rPr>
      </w:pPr>
      <w:r>
        <w:rPr>
          <w:rFonts w:hAnsi="宋体" w:eastAsia="宋体"/>
          <w:sz w:val="21"/>
          <w:szCs w:val="21"/>
        </w:rPr>
        <w:t xml:space="preserve">说明：</w:t>
      </w:r>
      <w:r>
        <w:rPr>
          <w:rFonts w:hint="eastAsia" w:hAnsi="宋体" w:eastAsia="宋体"/>
          <w:sz w:val="21"/>
          <w:szCs w:val="21"/>
        </w:rPr>
      </w:r>
      <w:r/>
    </w:p>
    <w:p>
      <w:pPr>
        <w:pStyle w:val="941"/>
        <w:ind w:firstLine="420"/>
        <w:spacing w:line="400" w:lineRule="exact"/>
        <w:rPr>
          <w:rFonts w:hAnsi="宋体" w:eastAsia="宋体"/>
          <w:sz w:val="21"/>
          <w:szCs w:val="21"/>
        </w:rPr>
      </w:pPr>
      <w:r>
        <w:rPr>
          <w:rFonts w:hAnsi="宋体" w:eastAsia="宋体"/>
          <w:sz w:val="21"/>
          <w:szCs w:val="21"/>
        </w:rPr>
        <w:t xml:space="preserve">1.报价表包含投标单位各项成本核算和投入的成本明细，合计金额应与开标一览表合计金额一致；否则，以开标一览表为准。</w:t>
      </w:r>
      <w:r/>
    </w:p>
    <w:p>
      <w:pPr>
        <w:pStyle w:val="941"/>
        <w:ind w:firstLine="447"/>
        <w:spacing w:line="400" w:lineRule="exact"/>
        <w:rPr>
          <w:rFonts w:hAnsi="宋体" w:eastAsia="宋体"/>
          <w:sz w:val="21"/>
          <w:szCs w:val="21"/>
        </w:rPr>
      </w:pPr>
      <w:r>
        <w:rPr>
          <w:rFonts w:hAnsi="宋体" w:eastAsia="宋体"/>
          <w:sz w:val="21"/>
          <w:szCs w:val="21"/>
        </w:rPr>
        <w:t xml:space="preserve">2.表中所列项目必须核算明细，如有增加，可自行添加。</w:t>
      </w:r>
      <w:r/>
    </w:p>
    <w:p>
      <w:pPr>
        <w:pStyle w:val="1294"/>
        <w:ind w:left="-210" w:right="-210"/>
        <w:jc w:val="center"/>
        <w:spacing w:line="360" w:lineRule="auto"/>
        <w:rPr>
          <w:rFonts w:hAnsi="宋体" w:eastAsia="宋体"/>
          <w:sz w:val="21"/>
          <w:szCs w:val="21"/>
        </w:rPr>
      </w:pPr>
      <w:r>
        <w:rPr>
          <w:rFonts w:hAnsi="宋体" w:eastAsia="宋体"/>
          <w:sz w:val="21"/>
          <w:szCs w:val="21"/>
        </w:rPr>
      </w:r>
      <w:r/>
    </w:p>
    <w:p>
      <w:pPr>
        <w:pStyle w:val="1294"/>
        <w:ind w:left="-210" w:right="-210"/>
        <w:jc w:val="left"/>
        <w:spacing w:line="360" w:lineRule="auto"/>
        <w:rPr>
          <w:rFonts w:hAnsi="宋体" w:eastAsia="宋体"/>
          <w:sz w:val="21"/>
          <w:szCs w:val="21"/>
        </w:rPr>
      </w:pPr>
      <w:r>
        <w:rPr>
          <w:rFonts w:hAnsi="宋体" w:eastAsia="宋体"/>
          <w:sz w:val="21"/>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ascii="宋体" w:hAnsi="宋体"/>
          <w:szCs w:val="21"/>
        </w:rPr>
      </w:pPr>
      <w:r>
        <w:rPr>
          <w:rFonts w:ascii="宋体" w:hAnsi="宋体"/>
          <w:szCs w:val="21"/>
        </w:rPr>
      </w:r>
      <w:r/>
    </w:p>
    <w:p>
      <w:pPr>
        <w:pStyle w:val="898"/>
        <w:rPr>
          <w:rFonts w:ascii="宋体" w:hAnsi="宋体"/>
          <w:szCs w:val="21"/>
        </w:rPr>
      </w:pPr>
      <w:r>
        <w:rPr>
          <w:rFonts w:ascii="宋体" w:hAnsi="宋体"/>
          <w:szCs w:val="21"/>
        </w:rPr>
      </w:r>
      <w:r/>
    </w:p>
    <w:p>
      <w:pPr>
        <w:pStyle w:val="900"/>
        <w:rPr>
          <w:rFonts w:hint="eastAsia"/>
          <w:szCs w:val="21"/>
        </w:rPr>
      </w:pPr>
      <w:r/>
      <w:bookmarkStart w:id="177" w:name="_附件9：偏离表（技术、商务）"/>
      <w:r/>
      <w:bookmarkEnd w:id="177"/>
      <w:r/>
      <w:bookmarkStart w:id="178" w:name="_Toc500143980"/>
      <w:r/>
      <w:bookmarkStart w:id="179" w:name="_Toc519686655"/>
      <w:r/>
      <w:bookmarkStart w:id="180" w:name="_Ref477865937"/>
      <w:r/>
      <w:bookmarkStart w:id="181" w:name="_Ref15304731"/>
      <w:r/>
      <w:bookmarkStart w:id="182" w:name="_Toc37495976"/>
      <w:r/>
      <w:bookmarkStart w:id="183" w:name="_Toc37496126"/>
      <w:r/>
      <w:bookmarkStart w:id="184" w:name="_Toc126763175"/>
      <w:r/>
      <w:bookmarkStart w:id="185" w:name="_Ref33617553"/>
      <w:r>
        <w:rPr>
          <w:rFonts w:hint="eastAsia"/>
          <w:szCs w:val="21"/>
        </w:rPr>
      </w:r>
      <w:r/>
    </w:p>
    <w:p>
      <w:pPr>
        <w:pStyle w:val="900"/>
        <w:rPr>
          <w:rFonts w:hint="eastAsia"/>
          <w:szCs w:val="21"/>
        </w:rPr>
      </w:pPr>
      <w:r>
        <w:rPr>
          <w:rFonts w:hint="eastAsia"/>
          <w:szCs w:val="21"/>
        </w:rPr>
      </w:r>
      <w:r/>
    </w:p>
    <w:p>
      <w:pPr>
        <w:pStyle w:val="898"/>
        <w:rPr>
          <w:rFonts w:hint="eastAsia"/>
        </w:rPr>
      </w:pPr>
      <w:r>
        <w:rPr>
          <w:rFonts w:hint="eastAsia"/>
        </w:rPr>
      </w:r>
      <w:r/>
    </w:p>
    <w:p>
      <w:pPr>
        <w:pStyle w:val="898"/>
        <w:rPr>
          <w:rFonts w:hint="eastAsia"/>
        </w:rPr>
      </w:pPr>
      <w:r>
        <w:rPr>
          <w:rFonts w:hint="eastAsia"/>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86" w:name="_Toc161591386"/>
      <w:r/>
      <w:bookmarkStart w:id="187" w:name="_Toc126766161"/>
      <w:r>
        <w:rPr>
          <w:szCs w:val="21"/>
        </w:rPr>
      </w:r>
      <w:r/>
    </w:p>
    <w:p>
      <w:pPr>
        <w:pStyle w:val="900"/>
        <w:rPr>
          <w:szCs w:val="21"/>
        </w:rPr>
      </w:pPr>
      <w:r>
        <w:rPr>
          <w:szCs w:val="21"/>
        </w:rPr>
        <w:t xml:space="preserve">附件</w:t>
      </w:r>
      <w:r>
        <w:rPr>
          <w:rFonts w:hint="eastAsia"/>
          <w:szCs w:val="21"/>
        </w:rPr>
        <w:t xml:space="preserve">10</w:t>
      </w:r>
      <w:r>
        <w:rPr>
          <w:szCs w:val="21"/>
        </w:rPr>
        <w:t xml:space="preserve">：</w:t>
      </w:r>
      <w:bookmarkEnd w:id="178"/>
      <w:r/>
      <w:bookmarkEnd w:id="179"/>
      <w:r/>
      <w:bookmarkEnd w:id="180"/>
      <w:r/>
      <w:bookmarkEnd w:id="181"/>
      <w:r>
        <w:rPr>
          <w:szCs w:val="21"/>
        </w:rPr>
        <w:t xml:space="preserve">偏离表（技术、商务）</w:t>
      </w:r>
      <w:bookmarkEnd w:id="182"/>
      <w:r/>
      <w:bookmarkEnd w:id="183"/>
      <w:r/>
      <w:bookmarkEnd w:id="184"/>
      <w:r/>
      <w:bookmarkEnd w:id="185"/>
      <w:r/>
      <w:bookmarkEnd w:id="186"/>
      <w:r/>
      <w:bookmarkEnd w:id="187"/>
      <w:r>
        <w:rPr>
          <w:szCs w:val="21"/>
        </w:rPr>
      </w:r>
      <w:r/>
    </w:p>
    <w:p>
      <w:pPr>
        <w:pStyle w:val="898"/>
        <w:jc w:val="center"/>
        <w:rPr>
          <w:rFonts w:ascii="宋体" w:hAnsi="宋体"/>
          <w:szCs w:val="21"/>
        </w:rPr>
      </w:pPr>
      <w:r>
        <w:rPr>
          <w:rFonts w:hint="eastAsia" w:ascii="宋体" w:hAnsi="宋体"/>
          <w:szCs w:val="21"/>
        </w:rPr>
        <w:t xml:space="preserve">偏离表（技术、商务）</w:t>
      </w:r>
      <w:r>
        <w:rPr>
          <w:rFonts w:ascii="宋体" w:hAnsi="宋体"/>
          <w:szCs w:val="21"/>
        </w:rPr>
      </w:r>
      <w:r/>
    </w:p>
    <w:p>
      <w:pPr>
        <w:pStyle w:val="898"/>
        <w:jc w:val="center"/>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2138"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bl>
    <w:p>
      <w:pPr>
        <w:pStyle w:val="915"/>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ascii="宋体" w:hAnsi="宋体"/>
          <w:szCs w:val="21"/>
        </w:rPr>
      </w:pPr>
      <w:r>
        <w:rPr>
          <w:rFonts w:ascii="宋体" w:hAnsi="宋体"/>
          <w:szCs w:val="21"/>
        </w:rPr>
      </w:r>
      <w:r/>
    </w:p>
    <w:p>
      <w:pPr>
        <w:pStyle w:val="900"/>
        <w:rPr>
          <w:szCs w:val="21"/>
        </w:rPr>
      </w:pPr>
      <w:r/>
      <w:bookmarkStart w:id="188" w:name="_附件10：项目人员配置表"/>
      <w:r/>
      <w:bookmarkEnd w:id="188"/>
      <w:r/>
      <w:bookmarkStart w:id="189" w:name="_Toc519686656"/>
      <w:r/>
      <w:bookmarkStart w:id="190" w:name="_Ref477865939"/>
      <w:r/>
      <w:bookmarkStart w:id="191" w:name="_Toc500143981"/>
      <w:r/>
      <w:bookmarkStart w:id="192" w:name="_Toc37496127"/>
      <w:r/>
      <w:bookmarkStart w:id="193" w:name="_Toc126763176"/>
      <w:r/>
      <w:bookmarkStart w:id="194" w:name="_Toc37495977"/>
      <w:r/>
      <w:bookmarkStart w:id="195" w:name="_Toc126766162"/>
      <w:r/>
      <w:bookmarkStart w:id="196" w:name="_Ref15304737"/>
      <w:r/>
      <w:bookmarkStart w:id="197" w:name="_Toc161591387"/>
      <w:r>
        <w:rPr>
          <w:szCs w:val="21"/>
        </w:rPr>
        <w:t xml:space="preserve">附件1</w:t>
      </w:r>
      <w:r>
        <w:rPr>
          <w:rFonts w:hint="eastAsia"/>
          <w:szCs w:val="21"/>
        </w:rPr>
        <w:t xml:space="preserve">1</w:t>
      </w:r>
      <w:r>
        <w:rPr>
          <w:szCs w:val="21"/>
        </w:rPr>
        <w:t xml:space="preserve">：</w:t>
      </w:r>
      <w:bookmarkEnd w:id="189"/>
      <w:r/>
      <w:bookmarkEnd w:id="190"/>
      <w:r/>
      <w:bookmarkEnd w:id="191"/>
      <w:r>
        <w:rPr>
          <w:szCs w:val="21"/>
        </w:rPr>
        <w:t xml:space="preserve">项目人员配置表</w:t>
      </w:r>
      <w:bookmarkEnd w:id="192"/>
      <w:r/>
      <w:bookmarkEnd w:id="193"/>
      <w:r/>
      <w:bookmarkEnd w:id="194"/>
      <w:r/>
      <w:bookmarkEnd w:id="195"/>
      <w:r/>
      <w:bookmarkEnd w:id="196"/>
      <w:r/>
      <w:bookmarkEnd w:id="197"/>
      <w:r>
        <w:rPr>
          <w:szCs w:val="21"/>
        </w:rPr>
      </w:r>
      <w:r/>
    </w:p>
    <w:p>
      <w:pPr>
        <w:pStyle w:val="898"/>
        <w:jc w:val="center"/>
        <w:rPr>
          <w:rFonts w:ascii="宋体" w:hAnsi="宋体"/>
          <w:szCs w:val="21"/>
        </w:rPr>
      </w:pPr>
      <w:r>
        <w:rPr>
          <w:rFonts w:hint="eastAsia" w:ascii="宋体" w:hAnsi="宋体"/>
          <w:szCs w:val="21"/>
        </w:rPr>
        <w:t xml:space="preserve">项目人员配置表</w:t>
      </w:r>
      <w:r>
        <w:rPr>
          <w:rFonts w:ascii="宋体" w:hAnsi="宋体"/>
          <w:szCs w:val="21"/>
        </w:rPr>
      </w:r>
      <w:r/>
    </w:p>
    <w:p>
      <w:pPr>
        <w:pStyle w:val="898"/>
        <w:jc w:val="center"/>
        <w:rPr>
          <w:rFonts w:ascii="宋体" w:hAnsi="宋体"/>
          <w:szCs w:val="21"/>
        </w:rPr>
      </w:pPr>
      <w:r>
        <w:rPr>
          <w:rFonts w:ascii="宋体" w:hAnsi="宋体"/>
          <w:szCs w:val="21"/>
        </w:rPr>
      </w:r>
      <w:r/>
    </w:p>
    <w:tbl>
      <w:tblPr>
        <w:tblW w:w="833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295"/>
              <w:jc w:val="center"/>
              <w:spacing w:line="360" w:lineRule="auto"/>
              <w:rPr>
                <w:rFonts w:hAnsi="宋体" w:eastAsia="宋体"/>
                <w:sz w:val="21"/>
                <w:szCs w:val="21"/>
              </w:rPr>
            </w:pPr>
            <w:r>
              <w:rPr>
                <w:rFonts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姓名</w:t>
            </w: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身份证号码</w:t>
            </w:r>
            <w:r>
              <w:rPr>
                <w:rFonts w:hAnsi="宋体" w:eastAsia="宋体"/>
                <w:sz w:val="21"/>
                <w:szCs w:val="21"/>
              </w:rPr>
            </w:r>
            <w:r/>
          </w:p>
        </w:tc>
        <w:tc>
          <w:tcPr>
            <w:tcBorders>
              <w:top w:val="single" w:color="000000" w:sz="6" w:space="0"/>
              <w:left w:val="single" w:color="000000" w:sz="6" w:space="0"/>
              <w:bottom w:val="single" w:color="000000" w:sz="4" w:space="0"/>
              <w:right w:val="single" w:color="000000" w:sz="4" w:space="0"/>
            </w:tcBorders>
            <w:tcW w:w="1984" w:type="dxa"/>
            <w:vAlign w:val="center"/>
            <w:textDirection w:val="lrTb"/>
            <w:noWrap w:val="false"/>
          </w:tcPr>
          <w:p>
            <w:pPr>
              <w:pStyle w:val="1295"/>
              <w:jc w:val="center"/>
              <w:rPr>
                <w:rFonts w:hAnsi="宋体" w:eastAsia="宋体"/>
                <w:sz w:val="21"/>
                <w:szCs w:val="21"/>
              </w:rPr>
            </w:pPr>
            <w:r>
              <w:rPr>
                <w:rFonts w:hint="eastAsia" w:hAnsi="宋体" w:eastAsia="宋体"/>
                <w:sz w:val="21"/>
                <w:szCs w:val="21"/>
              </w:rPr>
              <w:t xml:space="preserve">拟在本项目中担任的职务（岗位）</w:t>
            </w:r>
            <w:r>
              <w:rPr>
                <w:rFonts w:hAnsi="宋体" w:eastAsia="宋体"/>
                <w:sz w:val="21"/>
                <w:szCs w:val="21"/>
              </w:rPr>
            </w:r>
            <w:r/>
          </w:p>
        </w:tc>
        <w:tc>
          <w:tcPr>
            <w:tcBorders>
              <w:top w:val="single" w:color="000000" w:sz="6" w:space="0"/>
              <w:left w:val="single" w:color="000000" w:sz="4" w:space="0"/>
              <w:bottom w:val="single" w:color="000000" w:sz="4" w:space="0"/>
              <w:right w:val="single" w:color="000000" w:sz="4" w:space="0"/>
            </w:tcBorders>
            <w:tcW w:w="1276"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备注</w:t>
            </w:r>
            <w:r>
              <w:rPr>
                <w:rFonts w:hAnsi="宋体" w:eastAsia="宋体"/>
                <w:sz w:val="21"/>
                <w:szCs w:val="21"/>
              </w:rPr>
            </w:r>
            <w:r/>
          </w:p>
        </w:tc>
      </w:tr>
      <w:tr>
        <w:trPr>
          <w:trHeight w:val="438"/>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6</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7</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8</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9</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bl>
    <w:p>
      <w:pPr>
        <w:pStyle w:val="898"/>
        <w:jc w:val="right"/>
        <w:spacing w:line="360" w:lineRule="auto"/>
        <w:rPr>
          <w:rFonts w:ascii="宋体" w:hAnsi="宋体"/>
          <w:szCs w:val="21"/>
        </w:rPr>
      </w:pPr>
      <w:r>
        <w:rPr>
          <w:rFonts w:ascii="宋体" w:hAnsi="宋体"/>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hint="eastAsia"/>
          <w:szCs w:val="21"/>
        </w:rPr>
      </w:pPr>
      <w:r/>
      <w:bookmarkStart w:id="198" w:name="_附件11：类似业绩证明材料"/>
      <w:r/>
      <w:bookmarkEnd w:id="198"/>
      <w:r>
        <w:rPr>
          <w:rFonts w:hint="eastAsia"/>
          <w:szCs w:val="21"/>
        </w:rPr>
      </w:r>
      <w:r/>
    </w:p>
    <w:p>
      <w:pPr>
        <w:pStyle w:val="898"/>
        <w:rPr>
          <w:szCs w:val="21"/>
        </w:rPr>
      </w:pPr>
      <w:r>
        <w:rPr>
          <w:szCs w:val="21"/>
        </w:rPr>
        <w:t xml:space="preserve">（完）</w:t>
      </w:r>
      <w:r/>
    </w:p>
    <w:p>
      <w:pPr>
        <w:pStyle w:val="898"/>
        <w:rPr>
          <w:szCs w:val="21"/>
        </w:rPr>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p>
    <w:pPr>
      <w:pStyle w:val="951"/>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tabs>
        <w:tab w:val="right" w:pos="8820"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pStyle w:val="1030"/>
      <w:isLgl w:val="false"/>
      <w:suff w:val="tab"/>
      <w:lvlText w:val="%1、"/>
      <w:lvlJc w:val="left"/>
      <w:pPr>
        <w:pStyle w:val="898"/>
        <w:ind w:left="719" w:hanging="360"/>
        <w:tabs>
          <w:tab w:val="num" w:pos="719" w:leader="none"/>
        </w:tabs>
      </w:pPr>
    </w:lvl>
    <w:lvl w:ilvl="1">
      <w:start w:val="1"/>
      <w:numFmt w:val="lowerLetter"/>
      <w:isLgl w:val="false"/>
      <w:suff w:val="tab"/>
      <w:lvlText w:val="%2)"/>
      <w:lvlJc w:val="left"/>
      <w:pPr>
        <w:pStyle w:val="898"/>
        <w:ind w:left="1199" w:hanging="420"/>
        <w:tabs>
          <w:tab w:val="num" w:pos="1199" w:leader="none"/>
        </w:tabs>
      </w:pPr>
    </w:lvl>
    <w:lvl w:ilvl="2">
      <w:start w:val="1"/>
      <w:numFmt w:val="lowerRoman"/>
      <w:isLgl w:val="false"/>
      <w:suff w:val="tab"/>
      <w:lvlText w:val="%3."/>
      <w:lvlJc w:val="right"/>
      <w:pPr>
        <w:pStyle w:val="898"/>
        <w:ind w:left="1619" w:hanging="420"/>
        <w:tabs>
          <w:tab w:val="num" w:pos="1619" w:leader="none"/>
        </w:tabs>
      </w:pPr>
    </w:lvl>
    <w:lvl w:ilvl="3">
      <w:start w:val="1"/>
      <w:numFmt w:val="decimal"/>
      <w:isLgl w:val="false"/>
      <w:suff w:val="tab"/>
      <w:lvlText w:val="%4."/>
      <w:lvlJc w:val="left"/>
      <w:pPr>
        <w:pStyle w:val="898"/>
        <w:ind w:left="2039" w:hanging="420"/>
        <w:tabs>
          <w:tab w:val="num" w:pos="2039" w:leader="none"/>
        </w:tabs>
      </w:pPr>
    </w:lvl>
    <w:lvl w:ilvl="4">
      <w:start w:val="1"/>
      <w:numFmt w:val="lowerLetter"/>
      <w:isLgl w:val="false"/>
      <w:suff w:val="tab"/>
      <w:lvlText w:val="%5)"/>
      <w:lvlJc w:val="left"/>
      <w:pPr>
        <w:pStyle w:val="898"/>
        <w:ind w:left="2459" w:hanging="420"/>
        <w:tabs>
          <w:tab w:val="num" w:pos="2459" w:leader="none"/>
        </w:tabs>
      </w:pPr>
    </w:lvl>
    <w:lvl w:ilvl="5">
      <w:start w:val="1"/>
      <w:numFmt w:val="lowerRoman"/>
      <w:isLgl w:val="false"/>
      <w:suff w:val="tab"/>
      <w:lvlText w:val="%6."/>
      <w:lvlJc w:val="right"/>
      <w:pPr>
        <w:pStyle w:val="898"/>
        <w:ind w:left="2879" w:hanging="420"/>
        <w:tabs>
          <w:tab w:val="num" w:pos="2879" w:leader="none"/>
        </w:tabs>
      </w:pPr>
    </w:lvl>
    <w:lvl w:ilvl="6">
      <w:start w:val="1"/>
      <w:numFmt w:val="decimal"/>
      <w:isLgl w:val="false"/>
      <w:suff w:val="tab"/>
      <w:lvlText w:val="%7."/>
      <w:lvlJc w:val="left"/>
      <w:pPr>
        <w:pStyle w:val="898"/>
        <w:ind w:left="3299" w:hanging="420"/>
        <w:tabs>
          <w:tab w:val="num" w:pos="3299" w:leader="none"/>
        </w:tabs>
      </w:pPr>
    </w:lvl>
    <w:lvl w:ilvl="7">
      <w:start w:val="1"/>
      <w:numFmt w:val="lowerLetter"/>
      <w:isLgl w:val="false"/>
      <w:suff w:val="tab"/>
      <w:lvlText w:val="%8)"/>
      <w:lvlJc w:val="left"/>
      <w:pPr>
        <w:pStyle w:val="898"/>
        <w:ind w:left="3719" w:hanging="420"/>
        <w:tabs>
          <w:tab w:val="num" w:pos="3719" w:leader="none"/>
        </w:tabs>
      </w:pPr>
    </w:lvl>
    <w:lvl w:ilvl="8">
      <w:start w:val="1"/>
      <w:numFmt w:val="lowerRoman"/>
      <w:isLgl w:val="false"/>
      <w:suff w:val="tab"/>
      <w:lvlText w:val="%9."/>
      <w:lvlJc w:val="right"/>
      <w:pPr>
        <w:pStyle w:val="898"/>
        <w:ind w:left="4139" w:hanging="420"/>
        <w:tabs>
          <w:tab w:val="num" w:pos="4139" w:leader="none"/>
        </w:tabs>
      </w:pPr>
    </w:lvl>
  </w:abstractNum>
  <w:abstractNum w:abstractNumId="1">
    <w:multiLevelType w:val="hybridMultilevel"/>
    <w:lvl w:ilvl="0">
      <w:start w:val="1"/>
      <w:numFmt w:val="decimal"/>
      <w:pStyle w:val="1097"/>
      <w:isLgl w:val="false"/>
      <w:suff w:val="tab"/>
      <w:lvlText w:val="%1"/>
      <w:lvlJc w:val="left"/>
      <w:pPr>
        <w:pStyle w:val="898"/>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3"/>
      <w:isLgl w:val="false"/>
      <w:suff w:val="tab"/>
      <w:lvlText w:val=""/>
      <w:lvlJc w:val="left"/>
      <w:pPr>
        <w:pStyle w:val="898"/>
        <w:ind w:left="840" w:hanging="420"/>
        <w:tabs>
          <w:tab w:val="num" w:pos="840" w:leader="none"/>
        </w:tabs>
      </w:pPr>
      <w:rPr>
        <w:rFonts w:ascii="Wingdings" w:hAnsi="Wingdings"/>
        <w:color w:val="000000"/>
      </w:rPr>
    </w:lvl>
    <w:lvl w:ilvl="1">
      <w:start w:val="1"/>
      <w:numFmt w:val="decimal"/>
      <w:isLgl w:val="false"/>
      <w:suff w:val="tab"/>
      <w:lvlText w:val="%2."/>
      <w:lvlJc w:val="left"/>
      <w:pPr>
        <w:pStyle w:val="898"/>
        <w:ind w:left="1440" w:hanging="360"/>
        <w:tabs>
          <w:tab w:val="num" w:pos="1440" w:leader="none"/>
        </w:tabs>
      </w:pPr>
    </w:lvl>
    <w:lvl w:ilvl="2">
      <w:start w:val="1"/>
      <w:numFmt w:val="decimal"/>
      <w:isLgl w:val="false"/>
      <w:suff w:val="tab"/>
      <w:lvlText w:val="%3."/>
      <w:lvlJc w:val="left"/>
      <w:pPr>
        <w:pStyle w:val="898"/>
        <w:ind w:left="2160" w:hanging="360"/>
        <w:tabs>
          <w:tab w:val="num" w:pos="2160" w:leader="none"/>
        </w:tabs>
      </w:pPr>
    </w:lvl>
    <w:lvl w:ilvl="3">
      <w:start w:val="1"/>
      <w:numFmt w:val="decimal"/>
      <w:isLgl w:val="false"/>
      <w:suff w:val="tab"/>
      <w:lvlText w:val="%4."/>
      <w:lvlJc w:val="left"/>
      <w:pPr>
        <w:pStyle w:val="898"/>
        <w:ind w:left="2880" w:hanging="360"/>
        <w:tabs>
          <w:tab w:val="num" w:pos="2880" w:leader="none"/>
        </w:tabs>
      </w:pPr>
    </w:lvl>
    <w:lvl w:ilvl="4">
      <w:start w:val="1"/>
      <w:numFmt w:val="decimal"/>
      <w:isLgl w:val="false"/>
      <w:suff w:val="tab"/>
      <w:lvlText w:val="%5."/>
      <w:lvlJc w:val="left"/>
      <w:pPr>
        <w:pStyle w:val="898"/>
        <w:ind w:left="3600" w:hanging="360"/>
        <w:tabs>
          <w:tab w:val="num" w:pos="3600" w:leader="none"/>
        </w:tabs>
      </w:pPr>
    </w:lvl>
    <w:lvl w:ilvl="5">
      <w:start w:val="1"/>
      <w:numFmt w:val="decimal"/>
      <w:isLgl w:val="false"/>
      <w:suff w:val="tab"/>
      <w:lvlText w:val="%6."/>
      <w:lvlJc w:val="left"/>
      <w:pPr>
        <w:pStyle w:val="898"/>
        <w:ind w:left="4320" w:hanging="360"/>
        <w:tabs>
          <w:tab w:val="num" w:pos="4320" w:leader="none"/>
        </w:tabs>
      </w:pPr>
    </w:lvl>
    <w:lvl w:ilvl="6">
      <w:start w:val="1"/>
      <w:numFmt w:val="decimal"/>
      <w:isLgl w:val="false"/>
      <w:suff w:val="tab"/>
      <w:lvlText w:val="%7."/>
      <w:lvlJc w:val="left"/>
      <w:pPr>
        <w:pStyle w:val="898"/>
        <w:ind w:left="5040" w:hanging="360"/>
        <w:tabs>
          <w:tab w:val="num" w:pos="5040" w:leader="none"/>
        </w:tabs>
      </w:pPr>
    </w:lvl>
    <w:lvl w:ilvl="7">
      <w:start w:val="1"/>
      <w:numFmt w:val="decimal"/>
      <w:isLgl w:val="false"/>
      <w:suff w:val="tab"/>
      <w:lvlText w:val="%8."/>
      <w:lvlJc w:val="left"/>
      <w:pPr>
        <w:pStyle w:val="898"/>
        <w:ind w:left="5760" w:hanging="360"/>
        <w:tabs>
          <w:tab w:val="num" w:pos="5760" w:leader="none"/>
        </w:tabs>
      </w:pPr>
    </w:lvl>
    <w:lvl w:ilvl="8">
      <w:start w:val="1"/>
      <w:numFmt w:val="decimal"/>
      <w:isLgl w:val="false"/>
      <w:suff w:val="tab"/>
      <w:lvlText w:val="%9."/>
      <w:lvlJc w:val="left"/>
      <w:pPr>
        <w:pStyle w:val="898"/>
        <w:ind w:left="6480" w:hanging="360"/>
        <w:tabs>
          <w:tab w:val="num" w:pos="6480" w:leader="none"/>
        </w:tabs>
      </w:pPr>
    </w:lvl>
  </w:abstractNum>
  <w:abstractNum w:abstractNumId="3">
    <w:multiLevelType w:val="hybridMultilevel"/>
    <w:lvl w:ilvl="0">
      <w:start w:val="1"/>
      <w:numFmt w:val="decimal"/>
      <w:pStyle w:val="932"/>
      <w:isLgl w:val="false"/>
      <w:suff w:val="tab"/>
      <w:lvlText w:val="%1."/>
      <w:lvlJc w:val="left"/>
      <w:pPr>
        <w:pStyle w:val="898"/>
        <w:ind w:left="360" w:hanging="360"/>
        <w:tabs>
          <w:tab w:val="num" w:pos="360" w:leader="none"/>
        </w:tabs>
      </w:pPr>
      <w:rPr>
        <w:rFonts w:hint="eastAsia"/>
      </w:rPr>
    </w:lvl>
    <w:lvl w:ilvl="1">
      <w:start w:val="1"/>
      <w:numFmt w:val="lowerLetter"/>
      <w:isLgl w:val="false"/>
      <w:suff w:val="tab"/>
      <w:lvlText w:val="%2)"/>
      <w:lvlJc w:val="left"/>
      <w:pPr>
        <w:pStyle w:val="898"/>
        <w:ind w:left="840" w:hanging="420"/>
        <w:tabs>
          <w:tab w:val="num" w:pos="840" w:leader="none"/>
        </w:tabs>
      </w:pPr>
    </w:lvl>
    <w:lvl w:ilvl="2">
      <w:start w:val="1"/>
      <w:numFmt w:val="lowerRoman"/>
      <w:isLgl w:val="false"/>
      <w:suff w:val="tab"/>
      <w:lvlText w:val="%3."/>
      <w:lvlJc w:val="right"/>
      <w:pPr>
        <w:pStyle w:val="898"/>
        <w:ind w:left="1260" w:hanging="420"/>
        <w:tabs>
          <w:tab w:val="num" w:pos="1260" w:leader="none"/>
        </w:tabs>
      </w:pPr>
    </w:lvl>
    <w:lvl w:ilvl="3">
      <w:start w:val="1"/>
      <w:numFmt w:val="decimal"/>
      <w:isLgl w:val="false"/>
      <w:suff w:val="tab"/>
      <w:lvlText w:val="%4."/>
      <w:lvlJc w:val="left"/>
      <w:pPr>
        <w:pStyle w:val="898"/>
        <w:ind w:left="1680" w:hanging="420"/>
        <w:tabs>
          <w:tab w:val="num" w:pos="1680" w:leader="none"/>
        </w:tabs>
      </w:pPr>
    </w:lvl>
    <w:lvl w:ilvl="4">
      <w:start w:val="1"/>
      <w:numFmt w:val="lowerLetter"/>
      <w:isLgl w:val="false"/>
      <w:suff w:val="tab"/>
      <w:lvlText w:val="%5)"/>
      <w:lvlJc w:val="left"/>
      <w:pPr>
        <w:pStyle w:val="898"/>
        <w:ind w:left="2100" w:hanging="420"/>
        <w:tabs>
          <w:tab w:val="num" w:pos="2100" w:leader="none"/>
        </w:tabs>
      </w:pPr>
    </w:lvl>
    <w:lvl w:ilvl="5">
      <w:start w:val="1"/>
      <w:numFmt w:val="lowerRoman"/>
      <w:isLgl w:val="false"/>
      <w:suff w:val="tab"/>
      <w:lvlText w:val="%6."/>
      <w:lvlJc w:val="right"/>
      <w:pPr>
        <w:pStyle w:val="898"/>
        <w:ind w:left="2520" w:hanging="420"/>
        <w:tabs>
          <w:tab w:val="num" w:pos="2520" w:leader="none"/>
        </w:tabs>
      </w:pPr>
    </w:lvl>
    <w:lvl w:ilvl="6">
      <w:start w:val="1"/>
      <w:numFmt w:val="decimal"/>
      <w:isLgl w:val="false"/>
      <w:suff w:val="tab"/>
      <w:lvlText w:val="%7."/>
      <w:lvlJc w:val="left"/>
      <w:pPr>
        <w:pStyle w:val="898"/>
        <w:ind w:left="2940" w:hanging="420"/>
        <w:tabs>
          <w:tab w:val="num" w:pos="2940" w:leader="none"/>
        </w:tabs>
      </w:pPr>
    </w:lvl>
    <w:lvl w:ilvl="7">
      <w:start w:val="1"/>
      <w:numFmt w:val="lowerLetter"/>
      <w:isLgl w:val="false"/>
      <w:suff w:val="tab"/>
      <w:lvlText w:val="%8)"/>
      <w:lvlJc w:val="left"/>
      <w:pPr>
        <w:pStyle w:val="898"/>
        <w:ind w:left="3360" w:hanging="420"/>
        <w:tabs>
          <w:tab w:val="num" w:pos="3360" w:leader="none"/>
        </w:tabs>
      </w:pPr>
    </w:lvl>
    <w:lvl w:ilvl="8">
      <w:start w:val="1"/>
      <w:numFmt w:val="lowerRoman"/>
      <w:isLgl w:val="false"/>
      <w:suff w:val="tab"/>
      <w:lvlText w:val="%9."/>
      <w:lvlJc w:val="right"/>
      <w:pPr>
        <w:pStyle w:val="898"/>
        <w:ind w:left="3780" w:hanging="420"/>
        <w:tabs>
          <w:tab w:val="num" w:pos="3780" w:leader="none"/>
        </w:tabs>
      </w:pPr>
    </w:lvl>
  </w:abstractNum>
  <w:abstractNum w:abstractNumId="4">
    <w:multiLevelType w:val="hybridMultilevel"/>
    <w:lvl w:ilvl="0">
      <w:start w:val="1"/>
      <w:numFmt w:val="decimal"/>
      <w:pStyle w:val="922"/>
      <w:isLgl w:val="false"/>
      <w:suff w:val="tab"/>
      <w:lvlText w:val="%1."/>
      <w:lvlJc w:val="left"/>
      <w:pPr>
        <w:pStyle w:val="898"/>
        <w:ind w:left="381" w:hanging="360"/>
        <w:tabs>
          <w:tab w:val="num" w:pos="381" w:leader="none"/>
        </w:tabs>
      </w:pPr>
      <w:rPr>
        <w:rFonts w:hint="eastAsia"/>
      </w:rPr>
    </w:lvl>
    <w:lvl w:ilvl="1">
      <w:start w:val="1"/>
      <w:numFmt w:val="lowerLetter"/>
      <w:pStyle w:val="1246"/>
      <w:isLgl w:val="false"/>
      <w:suff w:val="tab"/>
      <w:lvlText w:val="%2)"/>
      <w:lvlJc w:val="left"/>
      <w:pPr>
        <w:pStyle w:val="898"/>
        <w:ind w:left="861" w:hanging="420"/>
        <w:tabs>
          <w:tab w:val="num" w:pos="861" w:leader="none"/>
        </w:tabs>
      </w:pPr>
    </w:lvl>
    <w:lvl w:ilvl="2">
      <w:start w:val="1"/>
      <w:numFmt w:val="lowerRoman"/>
      <w:pStyle w:val="1248"/>
      <w:isLgl w:val="false"/>
      <w:suff w:val="tab"/>
      <w:lvlText w:val="%3."/>
      <w:lvlJc w:val="right"/>
      <w:pPr>
        <w:pStyle w:val="898"/>
        <w:ind w:left="1281" w:hanging="420"/>
        <w:tabs>
          <w:tab w:val="num" w:pos="1281" w:leader="none"/>
        </w:tabs>
      </w:pPr>
    </w:lvl>
    <w:lvl w:ilvl="3">
      <w:start w:val="1"/>
      <w:numFmt w:val="decimal"/>
      <w:pStyle w:val="1250"/>
      <w:isLgl w:val="false"/>
      <w:suff w:val="tab"/>
      <w:lvlText w:val="%4."/>
      <w:lvlJc w:val="left"/>
      <w:pPr>
        <w:pStyle w:val="898"/>
        <w:ind w:left="1701" w:hanging="420"/>
        <w:tabs>
          <w:tab w:val="num" w:pos="1701" w:leader="none"/>
        </w:tabs>
      </w:pPr>
    </w:lvl>
    <w:lvl w:ilvl="4">
      <w:start w:val="1"/>
      <w:numFmt w:val="lowerLetter"/>
      <w:pStyle w:val="1253"/>
      <w:isLgl w:val="false"/>
      <w:suff w:val="tab"/>
      <w:lvlText w:val="%5)"/>
      <w:lvlJc w:val="left"/>
      <w:pPr>
        <w:pStyle w:val="898"/>
        <w:ind w:left="2121" w:hanging="420"/>
        <w:tabs>
          <w:tab w:val="num" w:pos="2121" w:leader="none"/>
        </w:tabs>
      </w:pPr>
    </w:lvl>
    <w:lvl w:ilvl="5">
      <w:start w:val="1"/>
      <w:numFmt w:val="lowerRoman"/>
      <w:isLgl w:val="false"/>
      <w:suff w:val="tab"/>
      <w:lvlText w:val="%6."/>
      <w:lvlJc w:val="right"/>
      <w:pPr>
        <w:pStyle w:val="898"/>
        <w:ind w:left="2541" w:hanging="420"/>
        <w:tabs>
          <w:tab w:val="num" w:pos="2541" w:leader="none"/>
        </w:tabs>
      </w:pPr>
    </w:lvl>
    <w:lvl w:ilvl="6">
      <w:start w:val="1"/>
      <w:numFmt w:val="decimal"/>
      <w:isLgl w:val="false"/>
      <w:suff w:val="tab"/>
      <w:lvlText w:val="%7."/>
      <w:lvlJc w:val="left"/>
      <w:pPr>
        <w:pStyle w:val="898"/>
        <w:ind w:left="2961" w:hanging="420"/>
        <w:tabs>
          <w:tab w:val="num" w:pos="2961" w:leader="none"/>
        </w:tabs>
      </w:pPr>
    </w:lvl>
    <w:lvl w:ilvl="7">
      <w:start w:val="1"/>
      <w:numFmt w:val="lowerLetter"/>
      <w:isLgl w:val="false"/>
      <w:suff w:val="tab"/>
      <w:lvlText w:val="%8)"/>
      <w:lvlJc w:val="left"/>
      <w:pPr>
        <w:pStyle w:val="898"/>
        <w:ind w:left="3381" w:hanging="420"/>
        <w:tabs>
          <w:tab w:val="num" w:pos="3381" w:leader="none"/>
        </w:tabs>
      </w:pPr>
    </w:lvl>
    <w:lvl w:ilvl="8">
      <w:start w:val="1"/>
      <w:numFmt w:val="lowerRoman"/>
      <w:isLgl w:val="false"/>
      <w:suff w:val="tab"/>
      <w:lvlText w:val="%9."/>
      <w:lvlJc w:val="right"/>
      <w:pPr>
        <w:pStyle w:val="898"/>
        <w:ind w:left="3801" w:hanging="420"/>
        <w:tabs>
          <w:tab w:val="num" w:pos="3801" w:leader="none"/>
        </w:tabs>
      </w:pPr>
    </w:lvl>
  </w:abstractNum>
  <w:abstractNum w:abstractNumId="5">
    <w:multiLevelType w:val="hybridMultilevel"/>
    <w:lvl w:ilvl="0">
      <w:start w:val="2"/>
      <w:numFmt w:val="decimal"/>
      <w:pStyle w:val="938"/>
      <w:isLgl w:val="false"/>
      <w:suff w:val="tab"/>
      <w:lvlText w:val="%1、"/>
      <w:lvlJc w:val="left"/>
      <w:pPr>
        <w:pStyle w:val="898"/>
        <w:ind w:left="780" w:hanging="360"/>
        <w:tabs>
          <w:tab w:val="num" w:pos="780" w:leader="none"/>
        </w:tabs>
      </w:pPr>
      <w:rPr>
        <w:rFonts w:hint="eastAsia"/>
      </w:rPr>
    </w:lvl>
    <w:lvl w:ilvl="1">
      <w:start w:val="1"/>
      <w:numFmt w:val="lowerLetter"/>
      <w:isLgl w:val="false"/>
      <w:suff w:val="tab"/>
      <w:lvlText w:val="%2)"/>
      <w:lvlJc w:val="left"/>
      <w:pPr>
        <w:pStyle w:val="898"/>
        <w:ind w:left="1260" w:hanging="420"/>
        <w:tabs>
          <w:tab w:val="num" w:pos="1260" w:leader="none"/>
        </w:tabs>
      </w:pPr>
    </w:lvl>
    <w:lvl w:ilvl="2">
      <w:start w:val="1"/>
      <w:numFmt w:val="lowerRoman"/>
      <w:isLgl w:val="false"/>
      <w:suff w:val="tab"/>
      <w:lvlText w:val="%3."/>
      <w:lvlJc w:val="right"/>
      <w:pPr>
        <w:pStyle w:val="898"/>
        <w:ind w:left="1680" w:hanging="420"/>
        <w:tabs>
          <w:tab w:val="num" w:pos="1680" w:leader="none"/>
        </w:tabs>
      </w:pPr>
    </w:lvl>
    <w:lvl w:ilvl="3">
      <w:start w:val="1"/>
      <w:numFmt w:val="decimal"/>
      <w:isLgl w:val="false"/>
      <w:suff w:val="tab"/>
      <w:lvlText w:val="%4."/>
      <w:lvlJc w:val="left"/>
      <w:pPr>
        <w:pStyle w:val="898"/>
        <w:ind w:left="2100" w:hanging="420"/>
        <w:tabs>
          <w:tab w:val="num" w:pos="2100" w:leader="none"/>
        </w:tabs>
      </w:pPr>
    </w:lvl>
    <w:lvl w:ilvl="4">
      <w:start w:val="1"/>
      <w:numFmt w:val="lowerLetter"/>
      <w:isLgl w:val="false"/>
      <w:suff w:val="tab"/>
      <w:lvlText w:val="%5)"/>
      <w:lvlJc w:val="left"/>
      <w:pPr>
        <w:pStyle w:val="898"/>
        <w:ind w:left="2520" w:hanging="420"/>
        <w:tabs>
          <w:tab w:val="num" w:pos="2520" w:leader="none"/>
        </w:tabs>
      </w:pPr>
    </w:lvl>
    <w:lvl w:ilvl="5">
      <w:start w:val="1"/>
      <w:numFmt w:val="lowerRoman"/>
      <w:isLgl w:val="false"/>
      <w:suff w:val="tab"/>
      <w:lvlText w:val="%6."/>
      <w:lvlJc w:val="right"/>
      <w:pPr>
        <w:pStyle w:val="898"/>
        <w:ind w:left="2940" w:hanging="420"/>
        <w:tabs>
          <w:tab w:val="num" w:pos="2940" w:leader="none"/>
        </w:tabs>
      </w:pPr>
    </w:lvl>
    <w:lvl w:ilvl="6">
      <w:start w:val="1"/>
      <w:numFmt w:val="decimal"/>
      <w:isLgl w:val="false"/>
      <w:suff w:val="tab"/>
      <w:lvlText w:val="%7."/>
      <w:lvlJc w:val="left"/>
      <w:pPr>
        <w:pStyle w:val="898"/>
        <w:ind w:left="3360" w:hanging="420"/>
        <w:tabs>
          <w:tab w:val="num" w:pos="3360" w:leader="none"/>
        </w:tabs>
      </w:pPr>
    </w:lvl>
    <w:lvl w:ilvl="7">
      <w:start w:val="1"/>
      <w:numFmt w:val="lowerLetter"/>
      <w:isLgl w:val="false"/>
      <w:suff w:val="tab"/>
      <w:lvlText w:val="%8)"/>
      <w:lvlJc w:val="left"/>
      <w:pPr>
        <w:pStyle w:val="898"/>
        <w:ind w:left="3780" w:hanging="420"/>
        <w:tabs>
          <w:tab w:val="num" w:pos="3780" w:leader="none"/>
        </w:tabs>
      </w:pPr>
    </w:lvl>
    <w:lvl w:ilvl="8">
      <w:start w:val="1"/>
      <w:numFmt w:val="lowerRoman"/>
      <w:isLgl w:val="false"/>
      <w:suff w:val="tab"/>
      <w:lvlText w:val="%9."/>
      <w:lvlJc w:val="right"/>
      <w:pPr>
        <w:pStyle w:val="898"/>
        <w:ind w:left="4200" w:hanging="420"/>
        <w:tabs>
          <w:tab w:val="num" w:pos="4200" w:leader="none"/>
        </w:tabs>
      </w:pPr>
    </w:lvl>
  </w:abstractNum>
  <w:abstractNum w:abstractNumId="6">
    <w:multiLevelType w:val="hybridMultilevel"/>
    <w:lvl w:ilvl="0">
      <w:start w:val="1"/>
      <w:numFmt w:val="decimal"/>
      <w:pStyle w:val="923"/>
      <w:isLgl w:val="false"/>
      <w:suff w:val="tab"/>
      <w:lvlText w:val="(%1)"/>
      <w:lvlJc w:val="left"/>
      <w:pPr>
        <w:pStyle w:val="898"/>
        <w:ind w:left="720" w:hanging="360"/>
        <w:tabs>
          <w:tab w:val="num" w:pos="720" w:leader="none"/>
        </w:tabs>
      </w:pPr>
      <w:rPr>
        <w:rFonts w:hint="eastAsia"/>
      </w:rPr>
    </w:lvl>
    <w:lvl w:ilvl="1">
      <w:start w:val="1"/>
      <w:numFmt w:val="lowerLetter"/>
      <w:isLgl w:val="false"/>
      <w:suff w:val="tab"/>
      <w:lvlText w:val="%2)"/>
      <w:lvlJc w:val="left"/>
      <w:pPr>
        <w:pStyle w:val="898"/>
        <w:ind w:left="1200" w:hanging="420"/>
        <w:tabs>
          <w:tab w:val="num" w:pos="1200" w:leader="none"/>
        </w:tabs>
      </w:pPr>
    </w:lvl>
    <w:lvl w:ilvl="2">
      <w:start w:val="1"/>
      <w:numFmt w:val="lowerRoman"/>
      <w:isLgl w:val="false"/>
      <w:suff w:val="tab"/>
      <w:lvlText w:val="%3."/>
      <w:lvlJc w:val="right"/>
      <w:pPr>
        <w:pStyle w:val="898"/>
        <w:ind w:left="1620" w:hanging="420"/>
        <w:tabs>
          <w:tab w:val="num" w:pos="1620" w:leader="none"/>
        </w:tabs>
      </w:pPr>
    </w:lvl>
    <w:lvl w:ilvl="3">
      <w:start w:val="1"/>
      <w:numFmt w:val="decimal"/>
      <w:isLgl w:val="false"/>
      <w:suff w:val="tab"/>
      <w:lvlText w:val="%4."/>
      <w:lvlJc w:val="left"/>
      <w:pPr>
        <w:pStyle w:val="898"/>
        <w:ind w:left="2040" w:hanging="420"/>
        <w:tabs>
          <w:tab w:val="num" w:pos="2040" w:leader="none"/>
        </w:tabs>
      </w:pPr>
    </w:lvl>
    <w:lvl w:ilvl="4">
      <w:start w:val="1"/>
      <w:numFmt w:val="lowerLetter"/>
      <w:isLgl w:val="false"/>
      <w:suff w:val="tab"/>
      <w:lvlText w:val="%5)"/>
      <w:lvlJc w:val="left"/>
      <w:pPr>
        <w:pStyle w:val="898"/>
        <w:ind w:left="2460" w:hanging="420"/>
        <w:tabs>
          <w:tab w:val="num" w:pos="2460" w:leader="none"/>
        </w:tabs>
      </w:pPr>
    </w:lvl>
    <w:lvl w:ilvl="5">
      <w:start w:val="1"/>
      <w:numFmt w:val="lowerRoman"/>
      <w:isLgl w:val="false"/>
      <w:suff w:val="tab"/>
      <w:lvlText w:val="%6."/>
      <w:lvlJc w:val="right"/>
      <w:pPr>
        <w:pStyle w:val="898"/>
        <w:ind w:left="2880" w:hanging="420"/>
        <w:tabs>
          <w:tab w:val="num" w:pos="2880" w:leader="none"/>
        </w:tabs>
      </w:pPr>
    </w:lvl>
    <w:lvl w:ilvl="6">
      <w:start w:val="1"/>
      <w:numFmt w:val="decimal"/>
      <w:isLgl w:val="false"/>
      <w:suff w:val="tab"/>
      <w:lvlText w:val="%7."/>
      <w:lvlJc w:val="left"/>
      <w:pPr>
        <w:pStyle w:val="898"/>
        <w:ind w:left="3300" w:hanging="420"/>
        <w:tabs>
          <w:tab w:val="num" w:pos="3300" w:leader="none"/>
        </w:tabs>
      </w:pPr>
    </w:lvl>
    <w:lvl w:ilvl="7">
      <w:start w:val="1"/>
      <w:numFmt w:val="lowerLetter"/>
      <w:isLgl w:val="false"/>
      <w:suff w:val="tab"/>
      <w:lvlText w:val="%8)"/>
      <w:lvlJc w:val="left"/>
      <w:pPr>
        <w:pStyle w:val="898"/>
        <w:ind w:left="3720" w:hanging="420"/>
        <w:tabs>
          <w:tab w:val="num" w:pos="3720" w:leader="none"/>
        </w:tabs>
      </w:pPr>
    </w:lvl>
    <w:lvl w:ilvl="8">
      <w:start w:val="1"/>
      <w:numFmt w:val="lowerRoman"/>
      <w:isLgl w:val="false"/>
      <w:suff w:val="tab"/>
      <w:lvlText w:val="%9."/>
      <w:lvlJc w:val="right"/>
      <w:pPr>
        <w:pStyle w:val="898"/>
        <w:ind w:left="4140" w:hanging="420"/>
        <w:tabs>
          <w:tab w:val="num" w:pos="4140" w:leader="none"/>
        </w:tabs>
      </w:pPr>
    </w:lvl>
  </w:abstractNum>
  <w:abstractNum w:abstractNumId="7">
    <w:multiLevelType w:val="hybridMultilevel"/>
    <w:lvl w:ilvl="0">
      <w:start w:val="1"/>
      <w:numFmt w:val="decimal"/>
      <w:pStyle w:val="1125"/>
      <w:isLgl w:val="false"/>
      <w:suff w:val="tab"/>
      <w:lvlText w:val="(%1)"/>
      <w:lvlJc w:val="left"/>
      <w:pPr>
        <w:pStyle w:val="898"/>
        <w:ind w:left="705" w:hanging="465"/>
        <w:tabs>
          <w:tab w:val="num"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98"/>
        <w:ind w:left="3512" w:hanging="870"/>
      </w:pPr>
    </w:lvl>
    <w:lvl w:ilvl="1">
      <w:start w:val="1"/>
      <w:numFmt w:val="lowerLetter"/>
      <w:isLgl w:val="false"/>
      <w:suff w:val="tab"/>
      <w:lvlText w:val="%2)"/>
      <w:lvlJc w:val="left"/>
      <w:pPr>
        <w:pStyle w:val="898"/>
        <w:ind w:left="3482" w:hanging="420"/>
      </w:pPr>
    </w:lvl>
    <w:lvl w:ilvl="2">
      <w:start w:val="1"/>
      <w:numFmt w:val="lowerRoman"/>
      <w:isLgl w:val="false"/>
      <w:suff w:val="tab"/>
      <w:lvlText w:val="%3."/>
      <w:lvlJc w:val="right"/>
      <w:pPr>
        <w:pStyle w:val="898"/>
        <w:ind w:left="3902" w:hanging="420"/>
      </w:pPr>
    </w:lvl>
    <w:lvl w:ilvl="3">
      <w:start w:val="1"/>
      <w:numFmt w:val="decimal"/>
      <w:isLgl w:val="false"/>
      <w:suff w:val="tab"/>
      <w:lvlText w:val="%4."/>
      <w:lvlJc w:val="left"/>
      <w:pPr>
        <w:pStyle w:val="898"/>
        <w:ind w:left="4322" w:hanging="420"/>
      </w:pPr>
    </w:lvl>
    <w:lvl w:ilvl="4">
      <w:start w:val="1"/>
      <w:numFmt w:val="lowerLetter"/>
      <w:isLgl w:val="false"/>
      <w:suff w:val="tab"/>
      <w:lvlText w:val="%5)"/>
      <w:lvlJc w:val="left"/>
      <w:pPr>
        <w:pStyle w:val="898"/>
        <w:ind w:left="4742" w:hanging="420"/>
      </w:pPr>
    </w:lvl>
    <w:lvl w:ilvl="5">
      <w:start w:val="1"/>
      <w:numFmt w:val="lowerRoman"/>
      <w:isLgl w:val="false"/>
      <w:suff w:val="tab"/>
      <w:lvlText w:val="%6."/>
      <w:lvlJc w:val="right"/>
      <w:pPr>
        <w:pStyle w:val="898"/>
        <w:ind w:left="5162" w:hanging="420"/>
      </w:pPr>
    </w:lvl>
    <w:lvl w:ilvl="6">
      <w:start w:val="1"/>
      <w:numFmt w:val="decimal"/>
      <w:isLgl w:val="false"/>
      <w:suff w:val="tab"/>
      <w:lvlText w:val="%7."/>
      <w:lvlJc w:val="left"/>
      <w:pPr>
        <w:pStyle w:val="898"/>
        <w:ind w:left="5582" w:hanging="420"/>
      </w:pPr>
    </w:lvl>
    <w:lvl w:ilvl="7">
      <w:start w:val="1"/>
      <w:numFmt w:val="lowerLetter"/>
      <w:isLgl w:val="false"/>
      <w:suff w:val="tab"/>
      <w:lvlText w:val="%8)"/>
      <w:lvlJc w:val="left"/>
      <w:pPr>
        <w:pStyle w:val="898"/>
        <w:ind w:left="6002" w:hanging="420"/>
      </w:pPr>
    </w:lvl>
    <w:lvl w:ilvl="8">
      <w:start w:val="1"/>
      <w:numFmt w:val="lowerRoman"/>
      <w:isLgl w:val="false"/>
      <w:suff w:val="tab"/>
      <w:lvlText w:val="%9."/>
      <w:lvlJc w:val="right"/>
      <w:pPr>
        <w:pStyle w:val="898"/>
        <w:ind w:left="6422" w:hanging="420"/>
      </w:pPr>
    </w:lvl>
  </w:abstractNum>
  <w:num w:numId="1">
    <w:abstractNumId w:val="4"/>
  </w:num>
  <w:num w:numId="2">
    <w:abstractNumId w:val="6"/>
  </w:num>
  <w:num w:numId="3">
    <w:abstractNumId w:val="3"/>
  </w:num>
  <w:num w:numId="4">
    <w:abstractNumId w:val="5"/>
  </w:num>
  <w:num w:numId="5">
    <w:abstractNumId w:val="0"/>
  </w:num>
  <w:num w:numId="6">
    <w:abstractNumId w:val="2"/>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8"/>
    <w:next w:val="898"/>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character" w:styleId="724">
    <w:name w:val="Heading 2 Char"/>
    <w:link w:val="1114"/>
    <w:uiPriority w:val="9"/>
    <w:rPr>
      <w:rFonts w:ascii="Arial" w:hAnsi="Arial" w:eastAsia="Arial" w:cs="Arial"/>
      <w:sz w:val="34"/>
    </w:rPr>
  </w:style>
  <w:style w:type="paragraph" w:styleId="725">
    <w:name w:val="Heading 3"/>
    <w:basedOn w:val="898"/>
    <w:next w:val="898"/>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8"/>
    <w:next w:val="898"/>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8"/>
    <w:next w:val="898"/>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8"/>
    <w:next w:val="898"/>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8"/>
    <w:next w:val="898"/>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8"/>
    <w:next w:val="898"/>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8"/>
    <w:next w:val="898"/>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lang w:val="en-US" w:eastAsia="zh-CN" w:bidi="ar-SA"/>
    </w:rPr>
  </w:style>
  <w:style w:type="paragraph" w:styleId="899">
    <w:name w:val="标题 1"/>
    <w:basedOn w:val="898"/>
    <w:next w:val="898"/>
    <w:link w:val="911"/>
    <w:qFormat/>
    <w:pPr>
      <w:jc w:val="left"/>
      <w:keepNext/>
      <w:spacing w:line="300" w:lineRule="auto"/>
      <w:outlineLvl w:val="0"/>
    </w:pPr>
    <w:rPr>
      <w:sz w:val="28"/>
    </w:rPr>
  </w:style>
  <w:style w:type="paragraph" w:styleId="900">
    <w:name w:val="标题 2"/>
    <w:basedOn w:val="898"/>
    <w:next w:val="898"/>
    <w:link w:val="912"/>
    <w:qFormat/>
    <w:pPr>
      <w:keepNext/>
      <w:outlineLvl w:val="1"/>
    </w:pPr>
    <w:rPr>
      <w:rFonts w:ascii="宋体" w:hAnsi="宋体"/>
      <w:b/>
    </w:rPr>
  </w:style>
  <w:style w:type="paragraph" w:styleId="901">
    <w:name w:val="标题 3"/>
    <w:basedOn w:val="898"/>
    <w:next w:val="898"/>
    <w:link w:val="913"/>
    <w:qFormat/>
    <w:pPr>
      <w:keepLines/>
      <w:keepNext/>
      <w:spacing w:before="260" w:after="260" w:line="413" w:lineRule="auto"/>
      <w:outlineLvl w:val="2"/>
    </w:pPr>
    <w:rPr>
      <w:b/>
      <w:sz w:val="32"/>
    </w:rPr>
  </w:style>
  <w:style w:type="paragraph" w:styleId="902">
    <w:name w:val="标题 4"/>
    <w:next w:val="898"/>
    <w:link w:val="898"/>
    <w:qFormat/>
    <w:pPr>
      <w:ind w:left="600" w:firstLine="357"/>
      <w:spacing w:before="468" w:after="468"/>
      <w:outlineLvl w:val="3"/>
    </w:pPr>
    <w:rPr>
      <w:rFonts w:ascii="宋体" w:hAnsi="宋体"/>
      <w:color w:val="000000"/>
      <w:sz w:val="24"/>
      <w:u w:val="single"/>
      <w:lang w:val="en-US" w:eastAsia="zh-CN" w:bidi="ar-SA"/>
    </w:rPr>
  </w:style>
  <w:style w:type="paragraph" w:styleId="903">
    <w:name w:val="标题 5"/>
    <w:basedOn w:val="898"/>
    <w:next w:val="915"/>
    <w:link w:val="914"/>
    <w:qFormat/>
    <w:pPr>
      <w:ind w:firstLine="420"/>
      <w:keepLines/>
      <w:keepNext/>
      <w:spacing w:before="100" w:after="100" w:line="376" w:lineRule="atLeast"/>
      <w:outlineLvl w:val="4"/>
    </w:pPr>
    <w:rPr>
      <w:rFonts w:ascii="宋体"/>
      <w:b/>
      <w:i/>
      <w:sz w:val="24"/>
    </w:rPr>
  </w:style>
  <w:style w:type="paragraph" w:styleId="904">
    <w:name w:val="标题 6"/>
    <w:basedOn w:val="898"/>
    <w:next w:val="898"/>
    <w:link w:val="917"/>
    <w:uiPriority w:val="9"/>
    <w:qFormat/>
    <w:pPr>
      <w:ind w:left="420"/>
      <w:keepNext/>
      <w:outlineLvl w:val="5"/>
    </w:pPr>
    <w:rPr>
      <w:rFonts w:ascii="Arial" w:hAnsi="Arial" w:eastAsia="黑体"/>
      <w:b/>
    </w:rPr>
  </w:style>
  <w:style w:type="paragraph" w:styleId="905">
    <w:name w:val="标题 7"/>
    <w:basedOn w:val="898"/>
    <w:next w:val="915"/>
    <w:link w:val="918"/>
    <w:uiPriority w:val="9"/>
    <w:qFormat/>
    <w:pPr>
      <w:keepNext/>
      <w:outlineLvl w:val="6"/>
    </w:pPr>
    <w:rPr>
      <w:rFonts w:ascii="Arial" w:hAnsi="Arial" w:eastAsia="黑体"/>
      <w:b/>
      <w:sz w:val="24"/>
    </w:rPr>
  </w:style>
  <w:style w:type="paragraph" w:styleId="906">
    <w:name w:val="标题 8"/>
    <w:basedOn w:val="898"/>
    <w:next w:val="898"/>
    <w:link w:val="919"/>
    <w:uiPriority w:val="9"/>
    <w:qFormat/>
    <w:pPr>
      <w:keepNext/>
      <w:outlineLvl w:val="7"/>
    </w:pPr>
    <w:rPr>
      <w:rFonts w:ascii="Arial" w:hAnsi="Arial"/>
      <w:b/>
      <w:color w:val="000000"/>
      <w:sz w:val="16"/>
    </w:rPr>
  </w:style>
  <w:style w:type="paragraph" w:styleId="907">
    <w:name w:val="标题 9"/>
    <w:basedOn w:val="898"/>
    <w:next w:val="915"/>
    <w:link w:val="920"/>
    <w:uiPriority w:val="9"/>
    <w:qFormat/>
    <w:pPr>
      <w:keepLines/>
      <w:keepNext/>
      <w:spacing w:before="240" w:after="64" w:line="317" w:lineRule="auto"/>
      <w:outlineLvl w:val="8"/>
    </w:pPr>
    <w:rPr>
      <w:rFonts w:ascii="Arial" w:hAnsi="Arial" w:eastAsia="黑体"/>
    </w:rPr>
  </w:style>
  <w:style w:type="character" w:styleId="908">
    <w:name w:val="默认段落字体"/>
    <w:next w:val="908"/>
    <w:link w:val="898"/>
  </w:style>
  <w:style w:type="table" w:styleId="909">
    <w:name w:val="普通表格"/>
    <w:next w:val="909"/>
    <w:link w:val="898"/>
    <w:semiHidden/>
    <w:tblPr/>
  </w:style>
  <w:style w:type="numbering" w:styleId="910">
    <w:name w:val="无列表"/>
    <w:next w:val="910"/>
    <w:link w:val="898"/>
    <w:uiPriority w:val="99"/>
    <w:semiHidden/>
    <w:unhideWhenUsed/>
  </w:style>
  <w:style w:type="character" w:styleId="911">
    <w:name w:val="标题 1 Char"/>
    <w:next w:val="911"/>
    <w:link w:val="899"/>
    <w:rPr>
      <w:sz w:val="28"/>
    </w:rPr>
  </w:style>
  <w:style w:type="character" w:styleId="912">
    <w:name w:val="标题 2 Char1"/>
    <w:next w:val="912"/>
    <w:link w:val="900"/>
    <w:rPr>
      <w:rFonts w:ascii="宋体" w:hAnsi="宋体"/>
      <w:b/>
      <w:sz w:val="21"/>
    </w:rPr>
  </w:style>
  <w:style w:type="character" w:styleId="913">
    <w:name w:val="标题 3 Char"/>
    <w:next w:val="913"/>
    <w:link w:val="901"/>
    <w:rPr>
      <w:rFonts w:eastAsia="宋体"/>
      <w:b/>
      <w:sz w:val="32"/>
      <w:lang w:val="en-US" w:eastAsia="zh-CN" w:bidi="ar-SA"/>
    </w:rPr>
  </w:style>
  <w:style w:type="character" w:styleId="914">
    <w:name w:val="标题 5 Char"/>
    <w:next w:val="914"/>
    <w:link w:val="903"/>
    <w:rPr>
      <w:rFonts w:ascii="宋体"/>
      <w:b/>
      <w:i/>
      <w:sz w:val="24"/>
    </w:rPr>
  </w:style>
  <w:style w:type="paragraph" w:styleId="915">
    <w:name w:val="正文缩进"/>
    <w:basedOn w:val="898"/>
    <w:next w:val="915"/>
    <w:link w:val="916"/>
    <w:qFormat/>
    <w:pPr>
      <w:ind w:firstLine="420"/>
      <w:jc w:val="left"/>
    </w:pPr>
    <w:rPr>
      <w:rFonts w:eastAsia="楷体_GB2312"/>
      <w:sz w:val="24"/>
    </w:rPr>
  </w:style>
  <w:style w:type="character" w:styleId="916">
    <w:name w:val="正文缩进 Char"/>
    <w:next w:val="916"/>
    <w:link w:val="915"/>
    <w:qFormat/>
    <w:rPr>
      <w:rFonts w:eastAsia="楷体_GB2312"/>
      <w:sz w:val="24"/>
      <w:lang w:val="en-US" w:eastAsia="zh-CN" w:bidi="ar-SA"/>
    </w:rPr>
  </w:style>
  <w:style w:type="character" w:styleId="917">
    <w:name w:val="标题 6 Char"/>
    <w:next w:val="917"/>
    <w:link w:val="904"/>
    <w:uiPriority w:val="9"/>
    <w:rPr>
      <w:rFonts w:ascii="Arial" w:hAnsi="Arial" w:eastAsia="黑体"/>
      <w:b/>
      <w:sz w:val="21"/>
    </w:rPr>
  </w:style>
  <w:style w:type="character" w:styleId="918">
    <w:name w:val="标题 7 Char"/>
    <w:next w:val="918"/>
    <w:link w:val="905"/>
    <w:uiPriority w:val="9"/>
    <w:rPr>
      <w:rFonts w:ascii="Arial" w:hAnsi="Arial" w:eastAsia="黑体"/>
      <w:b/>
      <w:sz w:val="24"/>
    </w:rPr>
  </w:style>
  <w:style w:type="character" w:styleId="919">
    <w:name w:val="标题 8 Char"/>
    <w:next w:val="919"/>
    <w:link w:val="906"/>
    <w:uiPriority w:val="9"/>
    <w:rPr>
      <w:rFonts w:ascii="Arial" w:hAnsi="Arial"/>
      <w:b/>
      <w:color w:val="000000"/>
      <w:sz w:val="16"/>
    </w:rPr>
  </w:style>
  <w:style w:type="character" w:styleId="920">
    <w:name w:val="标题 9 Char"/>
    <w:next w:val="920"/>
    <w:link w:val="907"/>
    <w:uiPriority w:val="9"/>
    <w:rPr>
      <w:rFonts w:ascii="Arial" w:hAnsi="Arial" w:eastAsia="黑体"/>
      <w:sz w:val="21"/>
    </w:rPr>
  </w:style>
  <w:style w:type="paragraph" w:styleId="921">
    <w:name w:val="目录 7"/>
    <w:basedOn w:val="898"/>
    <w:next w:val="898"/>
    <w:link w:val="898"/>
    <w:pPr>
      <w:ind w:left="2520"/>
    </w:pPr>
    <w:rPr>
      <w:szCs w:val="24"/>
    </w:rPr>
  </w:style>
  <w:style w:type="paragraph" w:styleId="922">
    <w:name w:val="列表项目符号 4"/>
    <w:basedOn w:val="898"/>
    <w:next w:val="922"/>
    <w:link w:val="898"/>
    <w:pPr>
      <w:numPr>
        <w:ilvl w:val="0"/>
        <w:numId w:val="1"/>
      </w:numPr>
      <w:spacing w:after="120"/>
      <w:tabs>
        <w:tab w:val="left" w:pos="381" w:leader="none"/>
      </w:tabs>
    </w:pPr>
    <w:rPr>
      <w:sz w:val="28"/>
    </w:rPr>
  </w:style>
  <w:style w:type="paragraph" w:styleId="923">
    <w:name w:val="列表编号"/>
    <w:basedOn w:val="898"/>
    <w:next w:val="923"/>
    <w:link w:val="898"/>
    <w:pPr>
      <w:numPr>
        <w:ilvl w:val="0"/>
        <w:numId w:val="2"/>
      </w:numPr>
      <w:jc w:val="left"/>
      <w:widowControl/>
      <w:tabs>
        <w:tab w:val="left" w:pos="839" w:leader="none"/>
      </w:tabs>
    </w:pPr>
    <w:rPr>
      <w:sz w:val="24"/>
    </w:rPr>
  </w:style>
  <w:style w:type="paragraph" w:styleId="924">
    <w:name w:val="题注"/>
    <w:basedOn w:val="898"/>
    <w:next w:val="898"/>
    <w:link w:val="925"/>
    <w:uiPriority w:val="35"/>
    <w:qFormat/>
    <w:pPr>
      <w:ind w:left="1260" w:hanging="720"/>
      <w:tabs>
        <w:tab w:val="left" w:pos="180" w:leader="none"/>
        <w:tab w:val="left" w:pos="840" w:leader="none"/>
      </w:tabs>
    </w:pPr>
    <w:rPr>
      <w:rFonts w:ascii="宋体" w:hAnsi="宋体"/>
      <w:b/>
    </w:rPr>
  </w:style>
  <w:style w:type="character" w:styleId="925">
    <w:name w:val="题注 Char"/>
    <w:next w:val="925"/>
    <w:link w:val="924"/>
    <w:rPr>
      <w:rFonts w:ascii="宋体" w:hAnsi="宋体"/>
      <w:b/>
      <w:sz w:val="21"/>
    </w:rPr>
  </w:style>
  <w:style w:type="paragraph" w:styleId="926">
    <w:name w:val="文档结构图"/>
    <w:basedOn w:val="898"/>
    <w:next w:val="926"/>
    <w:link w:val="927"/>
    <w:uiPriority w:val="99"/>
    <w:pPr>
      <w:shd w:val="clear" w:color="auto" w:fill="000080"/>
    </w:pPr>
  </w:style>
  <w:style w:type="character" w:styleId="927">
    <w:name w:val="文档结构图 Char"/>
    <w:next w:val="927"/>
    <w:link w:val="926"/>
    <w:uiPriority w:val="99"/>
    <w:rPr>
      <w:sz w:val="21"/>
      <w:shd w:val="clear" w:color="auto" w:fill="000080"/>
    </w:rPr>
  </w:style>
  <w:style w:type="paragraph" w:styleId="928">
    <w:name w:val="引文目录标题"/>
    <w:basedOn w:val="898"/>
    <w:next w:val="898"/>
    <w:link w:val="898"/>
    <w:pPr>
      <w:ind w:left="50"/>
      <w:spacing w:before="120" w:after="290" w:line="372" w:lineRule="auto"/>
    </w:pPr>
    <w:rPr>
      <w:rFonts w:ascii="Cambria" w:hAnsi="Cambria"/>
      <w:sz w:val="24"/>
      <w:szCs w:val="24"/>
      <w:lang w:eastAsia="ar-SA"/>
    </w:rPr>
  </w:style>
  <w:style w:type="paragraph" w:styleId="929">
    <w:name w:val="批注文字"/>
    <w:basedOn w:val="898"/>
    <w:next w:val="929"/>
    <w:link w:val="930"/>
    <w:pPr>
      <w:jc w:val="left"/>
    </w:pPr>
  </w:style>
  <w:style w:type="character" w:styleId="930">
    <w:name w:val="批注文字 Char"/>
    <w:next w:val="930"/>
    <w:link w:val="929"/>
    <w:rPr>
      <w:sz w:val="21"/>
    </w:rPr>
  </w:style>
  <w:style w:type="paragraph" w:styleId="931">
    <w:name w:val="正文文本 3"/>
    <w:basedOn w:val="898"/>
    <w:next w:val="931"/>
    <w:link w:val="898"/>
    <w:rPr>
      <w:color w:val="0000ff"/>
    </w:rPr>
  </w:style>
  <w:style w:type="paragraph" w:styleId="932">
    <w:name w:val="列表项目符号 3"/>
    <w:basedOn w:val="898"/>
    <w:next w:val="932"/>
    <w:link w:val="898"/>
    <w:pPr>
      <w:numPr>
        <w:ilvl w:val="0"/>
        <w:numId w:val="3"/>
      </w:numPr>
      <w:spacing w:after="120"/>
      <w:tabs>
        <w:tab w:val="left" w:pos="360" w:leader="none"/>
      </w:tabs>
    </w:pPr>
    <w:rPr>
      <w:sz w:val="28"/>
    </w:rPr>
  </w:style>
  <w:style w:type="paragraph" w:styleId="933">
    <w:name w:val="正文文本"/>
    <w:basedOn w:val="898"/>
    <w:next w:val="933"/>
    <w:link w:val="934"/>
    <w:pPr>
      <w:spacing w:after="120"/>
    </w:pPr>
  </w:style>
  <w:style w:type="character" w:styleId="934">
    <w:name w:val="正文文本 Char"/>
    <w:next w:val="934"/>
    <w:link w:val="933"/>
    <w:rPr>
      <w:sz w:val="21"/>
    </w:rPr>
  </w:style>
  <w:style w:type="paragraph" w:styleId="935">
    <w:name w:val="正文文本缩进"/>
    <w:basedOn w:val="898"/>
    <w:next w:val="935"/>
    <w:link w:val="936"/>
    <w:pPr>
      <w:ind w:firstLine="420"/>
      <w:spacing w:line="360" w:lineRule="auto"/>
    </w:pPr>
    <w:rPr>
      <w:rFonts w:ascii="宋体" w:hAnsi="宋体"/>
    </w:rPr>
  </w:style>
  <w:style w:type="character" w:styleId="936">
    <w:name w:val="正文文本缩进 Char"/>
    <w:next w:val="936"/>
    <w:link w:val="935"/>
    <w:rPr>
      <w:rFonts w:ascii="宋体" w:hAnsi="宋体"/>
      <w:sz w:val="21"/>
    </w:rPr>
  </w:style>
  <w:style w:type="paragraph" w:styleId="937">
    <w:name w:val="文本块"/>
    <w:basedOn w:val="898"/>
    <w:next w:val="937"/>
    <w:link w:val="898"/>
    <w:pPr>
      <w:ind w:left="630" w:right="-609" w:firstLine="420"/>
      <w:spacing w:line="360" w:lineRule="auto"/>
    </w:pPr>
    <w:rPr>
      <w:rFonts w:hint="eastAsia" w:ascii="仿宋_GB2312" w:eastAsia="仿宋_GB2312"/>
    </w:rPr>
  </w:style>
  <w:style w:type="paragraph" w:styleId="938">
    <w:name w:val="列表项目符号 2"/>
    <w:basedOn w:val="898"/>
    <w:next w:val="938"/>
    <w:link w:val="898"/>
    <w:pPr>
      <w:numPr>
        <w:ilvl w:val="0"/>
        <w:numId w:val="4"/>
      </w:numPr>
      <w:spacing w:after="120"/>
      <w:tabs>
        <w:tab w:val="left" w:pos="780" w:leader="none"/>
      </w:tabs>
    </w:pPr>
    <w:rPr>
      <w:sz w:val="28"/>
    </w:rPr>
  </w:style>
  <w:style w:type="paragraph" w:styleId="939">
    <w:name w:val="目录 5"/>
    <w:basedOn w:val="898"/>
    <w:next w:val="898"/>
    <w:link w:val="898"/>
    <w:pPr>
      <w:ind w:left="1438"/>
      <w:tabs>
        <w:tab w:val="right" w:pos="8302" w:leader="dot"/>
      </w:tabs>
    </w:pPr>
    <w:rPr>
      <w:szCs w:val="24"/>
    </w:rPr>
  </w:style>
  <w:style w:type="paragraph" w:styleId="940">
    <w:name w:val="目录 3"/>
    <w:basedOn w:val="898"/>
    <w:next w:val="898"/>
    <w:link w:val="898"/>
    <w:uiPriority w:val="39"/>
    <w:qFormat/>
    <w:pPr>
      <w:ind w:left="540"/>
      <w:spacing w:line="360" w:lineRule="auto"/>
      <w:tabs>
        <w:tab w:val="right" w:pos="8296" w:leader="dot"/>
      </w:tabs>
    </w:pPr>
    <w:rPr>
      <w:szCs w:val="24"/>
    </w:rPr>
  </w:style>
  <w:style w:type="paragraph" w:styleId="941">
    <w:name w:val="纯文本"/>
    <w:basedOn w:val="898"/>
    <w:next w:val="941"/>
    <w:link w:val="942"/>
    <w:qFormat/>
    <w:rPr>
      <w:rFonts w:ascii="宋体" w:hAnsi="Courier New" w:eastAsia="楷体_GB2312"/>
      <w:sz w:val="28"/>
    </w:rPr>
  </w:style>
  <w:style w:type="character" w:styleId="942">
    <w:name w:val="纯文本 Char1"/>
    <w:next w:val="942"/>
    <w:link w:val="941"/>
    <w:qFormat/>
    <w:rPr>
      <w:rFonts w:ascii="宋体" w:hAnsi="Courier New" w:eastAsia="楷体_GB2312"/>
      <w:sz w:val="28"/>
    </w:rPr>
  </w:style>
  <w:style w:type="paragraph" w:styleId="943">
    <w:name w:val="目录 8"/>
    <w:basedOn w:val="898"/>
    <w:next w:val="898"/>
    <w:link w:val="898"/>
    <w:pPr>
      <w:ind w:left="2940"/>
    </w:pPr>
    <w:rPr>
      <w:szCs w:val="24"/>
    </w:rPr>
  </w:style>
  <w:style w:type="paragraph" w:styleId="944">
    <w:name w:val="索引 3"/>
    <w:basedOn w:val="898"/>
    <w:next w:val="898"/>
    <w:link w:val="898"/>
    <w:pPr>
      <w:ind w:left="400"/>
      <w:spacing w:line="300" w:lineRule="auto"/>
    </w:pPr>
    <w:rPr>
      <w:sz w:val="28"/>
      <w:szCs w:val="24"/>
      <w:lang w:eastAsia="ar-SA"/>
    </w:rPr>
  </w:style>
  <w:style w:type="paragraph" w:styleId="945">
    <w:name w:val="日期"/>
    <w:basedOn w:val="898"/>
    <w:next w:val="898"/>
    <w:link w:val="946"/>
  </w:style>
  <w:style w:type="character" w:styleId="946">
    <w:name w:val="日期 Char"/>
    <w:next w:val="946"/>
    <w:link w:val="945"/>
    <w:rPr>
      <w:sz w:val="21"/>
    </w:rPr>
  </w:style>
  <w:style w:type="paragraph" w:styleId="947">
    <w:name w:val="正文文本缩进 2"/>
    <w:basedOn w:val="898"/>
    <w:next w:val="947"/>
    <w:link w:val="948"/>
    <w:pPr>
      <w:ind w:firstLine="540"/>
      <w:spacing w:line="360" w:lineRule="auto"/>
    </w:pPr>
    <w:rPr>
      <w:rFonts w:ascii="宋体" w:hAnsi="宋体"/>
      <w:sz w:val="24"/>
    </w:rPr>
  </w:style>
  <w:style w:type="character" w:styleId="948">
    <w:name w:val="正文文本缩进 2 Char"/>
    <w:next w:val="948"/>
    <w:link w:val="947"/>
    <w:rPr>
      <w:rFonts w:ascii="宋体" w:hAnsi="宋体"/>
      <w:sz w:val="24"/>
    </w:rPr>
  </w:style>
  <w:style w:type="paragraph" w:styleId="949">
    <w:name w:val="批注框文本"/>
    <w:basedOn w:val="898"/>
    <w:next w:val="949"/>
    <w:link w:val="950"/>
    <w:rPr>
      <w:sz w:val="18"/>
    </w:rPr>
  </w:style>
  <w:style w:type="character" w:styleId="950">
    <w:name w:val="批注框文本 Char"/>
    <w:next w:val="950"/>
    <w:link w:val="949"/>
    <w:rPr>
      <w:sz w:val="18"/>
    </w:rPr>
  </w:style>
  <w:style w:type="paragraph" w:styleId="951">
    <w:name w:val="页脚"/>
    <w:basedOn w:val="898"/>
    <w:next w:val="951"/>
    <w:link w:val="952"/>
    <w:uiPriority w:val="99"/>
    <w:pPr>
      <w:jc w:val="left"/>
      <w:tabs>
        <w:tab w:val="center" w:pos="4153" w:leader="none"/>
        <w:tab w:val="right" w:pos="8306" w:leader="none"/>
      </w:tabs>
    </w:pPr>
    <w:rPr>
      <w:rFonts w:eastAsia="楷体_GB2312"/>
      <w:sz w:val="18"/>
    </w:rPr>
  </w:style>
  <w:style w:type="character" w:styleId="952">
    <w:name w:val="页脚 Char"/>
    <w:next w:val="952"/>
    <w:link w:val="951"/>
    <w:uiPriority w:val="99"/>
    <w:rPr>
      <w:rFonts w:eastAsia="楷体_GB2312"/>
      <w:sz w:val="18"/>
      <w:lang w:val="en-US" w:eastAsia="zh-CN" w:bidi="ar-SA"/>
    </w:rPr>
  </w:style>
  <w:style w:type="paragraph" w:styleId="953">
    <w:name w:val="页眉"/>
    <w:basedOn w:val="898"/>
    <w:next w:val="953"/>
    <w:link w:val="954"/>
    <w:pPr>
      <w:jc w:val="center"/>
      <w:tabs>
        <w:tab w:val="center" w:pos="4153" w:leader="none"/>
        <w:tab w:val="right" w:pos="8306" w:leader="none"/>
      </w:tabs>
      <w:pBdr>
        <w:bottom w:val="single" w:color="000000" w:sz="6" w:space="1"/>
      </w:pBdr>
    </w:pPr>
    <w:rPr>
      <w:rFonts w:eastAsia="楷体_GB2312"/>
      <w:sz w:val="18"/>
    </w:rPr>
  </w:style>
  <w:style w:type="character" w:styleId="954">
    <w:name w:val="页眉 Char"/>
    <w:next w:val="954"/>
    <w:link w:val="953"/>
    <w:rPr>
      <w:rFonts w:eastAsia="楷体_GB2312"/>
      <w:sz w:val="18"/>
      <w:lang w:val="en-US" w:eastAsia="zh-CN" w:bidi="ar-SA"/>
    </w:rPr>
  </w:style>
  <w:style w:type="paragraph" w:styleId="955">
    <w:name w:val="目录 1"/>
    <w:basedOn w:val="898"/>
    <w:next w:val="898"/>
    <w:link w:val="898"/>
    <w:uiPriority w:val="39"/>
    <w:qFormat/>
    <w:pPr>
      <w:jc w:val="center"/>
      <w:spacing w:before="120" w:after="120"/>
      <w:tabs>
        <w:tab w:val="right" w:pos="8306" w:leader="dot"/>
      </w:tabs>
    </w:pPr>
    <w:rPr>
      <w:rFonts w:ascii="隶书" w:eastAsia="隶书"/>
      <w:b/>
      <w:caps/>
      <w:spacing w:val="30"/>
      <w:sz w:val="30"/>
    </w:rPr>
  </w:style>
  <w:style w:type="paragraph" w:styleId="956">
    <w:name w:val="目录 4"/>
    <w:basedOn w:val="898"/>
    <w:next w:val="898"/>
    <w:link w:val="898"/>
    <w:pPr>
      <w:ind w:left="540"/>
      <w:spacing w:line="360" w:lineRule="auto"/>
      <w:tabs>
        <w:tab w:val="right" w:pos="8296" w:leader="dot"/>
      </w:tabs>
    </w:pPr>
    <w:rPr>
      <w:rFonts w:ascii="仿宋_GB2312" w:eastAsia="仿宋_GB2312"/>
      <w:szCs w:val="21"/>
    </w:rPr>
  </w:style>
  <w:style w:type="paragraph" w:styleId="957">
    <w:name w:val="列表"/>
    <w:basedOn w:val="898"/>
    <w:next w:val="957"/>
    <w:link w:val="898"/>
    <w:pPr>
      <w:ind w:left="420" w:hanging="420"/>
      <w:spacing w:line="360" w:lineRule="auto"/>
    </w:pPr>
    <w:rPr>
      <w:rFonts w:eastAsia="仿宋_GB2312"/>
      <w:sz w:val="24"/>
    </w:rPr>
  </w:style>
  <w:style w:type="paragraph" w:styleId="958">
    <w:name w:val="目录 6"/>
    <w:basedOn w:val="898"/>
    <w:next w:val="898"/>
    <w:link w:val="898"/>
    <w:pPr>
      <w:ind w:left="2100"/>
    </w:pPr>
    <w:rPr>
      <w:szCs w:val="24"/>
    </w:rPr>
  </w:style>
  <w:style w:type="paragraph" w:styleId="959">
    <w:name w:val="正文文本缩进 3"/>
    <w:basedOn w:val="898"/>
    <w:next w:val="959"/>
    <w:link w:val="898"/>
    <w:pPr>
      <w:ind w:firstLine="480"/>
      <w:spacing w:line="360" w:lineRule="auto"/>
      <w:widowControl/>
    </w:pPr>
    <w:rPr>
      <w:sz w:val="24"/>
    </w:rPr>
  </w:style>
  <w:style w:type="paragraph" w:styleId="960">
    <w:name w:val="目录 2"/>
    <w:basedOn w:val="898"/>
    <w:next w:val="898"/>
    <w:link w:val="898"/>
    <w:uiPriority w:val="39"/>
    <w:qFormat/>
    <w:pPr>
      <w:ind w:left="240"/>
      <w:jc w:val="left"/>
      <w:spacing w:line="312" w:lineRule="atLeast"/>
      <w:tabs>
        <w:tab w:val="right" w:pos="8306" w:leader="dot"/>
      </w:tabs>
    </w:pPr>
    <w:rPr>
      <w:rFonts w:eastAsia="楷体_GB2312"/>
      <w:smallCaps/>
      <w:sz w:val="20"/>
    </w:rPr>
  </w:style>
  <w:style w:type="paragraph" w:styleId="961">
    <w:name w:val="目录 9"/>
    <w:basedOn w:val="898"/>
    <w:next w:val="898"/>
    <w:link w:val="898"/>
    <w:pPr>
      <w:ind w:left="3360"/>
    </w:pPr>
    <w:rPr>
      <w:rFonts w:ascii="Calibri" w:hAnsi="Calibri"/>
      <w:szCs w:val="22"/>
    </w:rPr>
  </w:style>
  <w:style w:type="paragraph" w:styleId="962">
    <w:name w:val="正文文本 2"/>
    <w:basedOn w:val="898"/>
    <w:next w:val="962"/>
    <w:link w:val="898"/>
    <w:pPr>
      <w:spacing w:line="360" w:lineRule="auto"/>
      <w:tabs>
        <w:tab w:val="left" w:pos="630" w:leader="none"/>
      </w:tabs>
    </w:pPr>
    <w:rPr>
      <w:rFonts w:ascii="宋体" w:hAnsi="宋体"/>
      <w:sz w:val="24"/>
    </w:rPr>
  </w:style>
  <w:style w:type="paragraph" w:styleId="963">
    <w:name w:val="HTML 预设格式"/>
    <w:basedOn w:val="898"/>
    <w:next w:val="963"/>
    <w:link w:val="96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4">
    <w:name w:val="HTML 预设格式 Char"/>
    <w:next w:val="964"/>
    <w:link w:val="963"/>
    <w:uiPriority w:val="99"/>
    <w:rPr>
      <w:rFonts w:ascii="宋体" w:hAnsi="宋体"/>
      <w:sz w:val="24"/>
      <w:szCs w:val="24"/>
    </w:rPr>
  </w:style>
  <w:style w:type="paragraph" w:styleId="965">
    <w:name w:val="普通(网站)"/>
    <w:basedOn w:val="898"/>
    <w:next w:val="965"/>
    <w:link w:val="898"/>
    <w:pPr>
      <w:jc w:val="left"/>
      <w:spacing w:before="100" w:beforeAutospacing="1" w:after="100" w:afterAutospacing="1"/>
      <w:widowControl/>
    </w:pPr>
    <w:rPr>
      <w:rFonts w:ascii="Arial Unicode MS" w:hAnsi="Arial Unicode MS" w:eastAsia="Arial Unicode MS"/>
      <w:color w:val="000000"/>
      <w:sz w:val="24"/>
    </w:rPr>
  </w:style>
  <w:style w:type="paragraph" w:styleId="966">
    <w:name w:val="索引 1"/>
    <w:basedOn w:val="898"/>
    <w:next w:val="898"/>
    <w:link w:val="898"/>
    <w:rPr>
      <w:sz w:val="28"/>
      <w:szCs w:val="24"/>
      <w:lang w:eastAsia="ar-SA"/>
    </w:rPr>
  </w:style>
  <w:style w:type="paragraph" w:styleId="967">
    <w:name w:val="索引 2"/>
    <w:basedOn w:val="898"/>
    <w:next w:val="898"/>
    <w:link w:val="898"/>
    <w:pPr>
      <w:ind w:left="200"/>
      <w:spacing w:line="300" w:lineRule="auto"/>
    </w:pPr>
    <w:rPr>
      <w:sz w:val="28"/>
      <w:szCs w:val="24"/>
      <w:lang w:eastAsia="ar-SA"/>
    </w:rPr>
  </w:style>
  <w:style w:type="paragraph" w:styleId="968">
    <w:name w:val="标题"/>
    <w:basedOn w:val="898"/>
    <w:next w:val="968"/>
    <w:link w:val="969"/>
    <w:qFormat/>
    <w:pPr>
      <w:jc w:val="center"/>
      <w:spacing w:before="156"/>
    </w:pPr>
    <w:rPr>
      <w:rFonts w:eastAsia="黑体"/>
      <w:b/>
      <w:sz w:val="32"/>
    </w:rPr>
  </w:style>
  <w:style w:type="character" w:styleId="969">
    <w:name w:val="标题 Char"/>
    <w:next w:val="969"/>
    <w:link w:val="968"/>
    <w:rPr>
      <w:rFonts w:eastAsia="黑体"/>
      <w:b/>
      <w:sz w:val="32"/>
    </w:rPr>
  </w:style>
  <w:style w:type="paragraph" w:styleId="970">
    <w:name w:val="批注主题"/>
    <w:basedOn w:val="929"/>
    <w:next w:val="929"/>
    <w:link w:val="971"/>
    <w:rPr>
      <w:b/>
      <w:bCs/>
    </w:rPr>
  </w:style>
  <w:style w:type="character" w:styleId="971">
    <w:name w:val="批注主题 Char"/>
    <w:next w:val="971"/>
    <w:link w:val="970"/>
    <w:rPr>
      <w:b/>
      <w:bCs/>
      <w:sz w:val="21"/>
    </w:rPr>
  </w:style>
  <w:style w:type="paragraph" w:styleId="972">
    <w:name w:val="正文首行缩进"/>
    <w:basedOn w:val="898"/>
    <w:next w:val="972"/>
    <w:link w:val="898"/>
    <w:pPr>
      <w:ind w:firstLine="425"/>
      <w:spacing w:line="360" w:lineRule="auto"/>
    </w:pPr>
    <w:rPr>
      <w:sz w:val="24"/>
    </w:rPr>
  </w:style>
  <w:style w:type="table" w:styleId="973">
    <w:name w:val="网格型"/>
    <w:basedOn w:val="909"/>
    <w:next w:val="973"/>
    <w:link w:val="898"/>
    <w:uiPriority w:val="59"/>
    <w:qFormat/>
    <w:tblPr/>
  </w:style>
  <w:style w:type="character" w:styleId="974">
    <w:name w:val="要点"/>
    <w:next w:val="974"/>
    <w:link w:val="898"/>
    <w:uiPriority w:val="22"/>
    <w:qFormat/>
    <w:rPr>
      <w:b/>
    </w:rPr>
  </w:style>
  <w:style w:type="character" w:styleId="975">
    <w:name w:val="页码"/>
    <w:next w:val="975"/>
    <w:link w:val="898"/>
  </w:style>
  <w:style w:type="character" w:styleId="976">
    <w:name w:val="访问过的超链接"/>
    <w:next w:val="976"/>
    <w:link w:val="898"/>
    <w:uiPriority w:val="99"/>
    <w:rPr>
      <w:color w:val="800080"/>
      <w:u w:val="single"/>
    </w:rPr>
  </w:style>
  <w:style w:type="character" w:styleId="977">
    <w:name w:val="强调"/>
    <w:next w:val="977"/>
    <w:link w:val="898"/>
    <w:qFormat/>
    <w:rPr>
      <w:color w:val="cc0000"/>
    </w:rPr>
  </w:style>
  <w:style w:type="character" w:styleId="978">
    <w:name w:val="HTML 打字机"/>
    <w:next w:val="978"/>
    <w:link w:val="898"/>
    <w:rPr>
      <w:rFonts w:ascii="宋体" w:hAnsi="宋体" w:eastAsia="宋体" w:cs="宋体"/>
      <w:sz w:val="24"/>
      <w:szCs w:val="24"/>
      <w:lang w:val="en-US" w:eastAsia="zh-CN" w:bidi="ar-SA"/>
    </w:rPr>
  </w:style>
  <w:style w:type="character" w:styleId="979">
    <w:name w:val="超链接"/>
    <w:next w:val="979"/>
    <w:link w:val="898"/>
    <w:uiPriority w:val="99"/>
    <w:rPr>
      <w:color w:val="0000ff"/>
      <w:u w:val="single"/>
    </w:rPr>
  </w:style>
  <w:style w:type="character" w:styleId="980">
    <w:name w:val="HTML 代码"/>
    <w:next w:val="980"/>
    <w:link w:val="898"/>
    <w:uiPriority w:val="99"/>
    <w:unhideWhenUsed/>
    <w:rPr>
      <w:rFonts w:ascii="宋体" w:hAnsi="宋体" w:eastAsia="宋体" w:cs="宋体"/>
      <w:sz w:val="24"/>
      <w:szCs w:val="24"/>
    </w:rPr>
  </w:style>
  <w:style w:type="character" w:styleId="981">
    <w:name w:val="批注引用"/>
    <w:next w:val="981"/>
    <w:link w:val="898"/>
    <w:rPr>
      <w:sz w:val="21"/>
      <w:szCs w:val="21"/>
    </w:rPr>
  </w:style>
  <w:style w:type="character" w:styleId="982">
    <w:name w:val="xxk_c"/>
    <w:next w:val="982"/>
    <w:link w:val="898"/>
    <w:rPr>
      <w:rFonts w:ascii="Tahoma" w:hAnsi="Tahoma" w:eastAsia="宋体"/>
      <w:sz w:val="24"/>
      <w:szCs w:val="24"/>
      <w:lang w:val="en-US" w:eastAsia="zh-CN" w:bidi="ar-SA"/>
    </w:rPr>
  </w:style>
  <w:style w:type="character" w:styleId="983">
    <w:name w:val="style14"/>
    <w:next w:val="983"/>
    <w:link w:val="898"/>
  </w:style>
  <w:style w:type="character" w:styleId="984">
    <w:name w:val="样式 标题 3H3Titre33heading 3Heading 3 - oldH31H32H33H34H3...1"/>
    <w:next w:val="984"/>
    <w:link w:val="898"/>
    <w:rPr>
      <w:rFonts w:ascii="仿宋_GB2312" w:hAnsi="宋体" w:eastAsia="仿宋_GB2312"/>
    </w:rPr>
  </w:style>
  <w:style w:type="character" w:styleId="985">
    <w:name w:val="new1"/>
    <w:next w:val="985"/>
    <w:link w:val="898"/>
    <w:rPr>
      <w:rFonts w:ascii="Verdana" w:hAnsi="Verdana"/>
      <w:color w:val="333333"/>
      <w:sz w:val="18"/>
      <w:shd w:val="clear" w:color="auto" w:fill="ffffff"/>
    </w:rPr>
  </w:style>
  <w:style w:type="character" w:styleId="986">
    <w:name w:val="line1"/>
    <w:next w:val="986"/>
    <w:link w:val="898"/>
  </w:style>
  <w:style w:type="character" w:styleId="987">
    <w:name w:val="标题 2 Char,H2 Char,sect 1.2 Char,H21 Char,sect 1.21 Char,H22 Char,sect 1.22 Char,H211 Char,sect 1.211 Char,H23 Char,sect 1.23 Char,H212 Char,sect 1.212 Char,Heading 2 Hidden Char,h2 Char,heading 2 Char,Heading 2 CCBS Char,标题 1.1 Char,Titre2 Char,2 Char"/>
    <w:next w:val="987"/>
    <w:link w:val="898"/>
    <w:rPr>
      <w:rFonts w:ascii="Arial" w:hAnsi="Arial" w:eastAsia="黑体"/>
      <w:b/>
      <w:bCs/>
      <w:sz w:val="32"/>
      <w:szCs w:val="32"/>
      <w:lang w:val="en-US" w:eastAsia="zh-CN" w:bidi="ar-SA"/>
    </w:rPr>
  </w:style>
  <w:style w:type="character" w:styleId="988">
    <w:name w:val="span21"/>
    <w:next w:val="988"/>
    <w:link w:val="898"/>
    <w:rPr>
      <w:color w:val="c00000"/>
    </w:rPr>
  </w:style>
  <w:style w:type="character" w:styleId="989">
    <w:name w:val="标准 Char Char"/>
    <w:next w:val="989"/>
    <w:link w:val="990"/>
    <w:rPr>
      <w:rFonts w:eastAsia="楷体_GB2312"/>
      <w:sz w:val="24"/>
      <w:lang w:val="en-US" w:eastAsia="zh-CN" w:bidi="ar-SA"/>
    </w:rPr>
  </w:style>
  <w:style w:type="paragraph" w:styleId="990">
    <w:name w:val="标准"/>
    <w:basedOn w:val="898"/>
    <w:next w:val="990"/>
    <w:link w:val="989"/>
    <w:pPr>
      <w:spacing w:line="240" w:lineRule="atLeast"/>
    </w:pPr>
    <w:rPr>
      <w:rFonts w:eastAsia="楷体_GB2312"/>
      <w:sz w:val="24"/>
    </w:rPr>
  </w:style>
  <w:style w:type="character" w:styleId="991">
    <w:name w:val="z-窗体顶端 Char"/>
    <w:next w:val="991"/>
    <w:link w:val="992"/>
    <w:rPr>
      <w:rFonts w:ascii="Arial" w:hAnsi="Arial" w:cs="Arial"/>
      <w:vanish/>
      <w:sz w:val="16"/>
      <w:szCs w:val="16"/>
    </w:rPr>
  </w:style>
  <w:style w:type="paragraph" w:styleId="992">
    <w:name w:val="z-窗体顶端"/>
    <w:basedOn w:val="898"/>
    <w:next w:val="898"/>
    <w:link w:val="991"/>
    <w:pPr>
      <w:jc w:val="center"/>
      <w:widowControl/>
      <w:pBdr>
        <w:bottom w:val="single" w:color="000000" w:sz="6" w:space="1"/>
      </w:pBdr>
    </w:pPr>
    <w:rPr>
      <w:rFonts w:ascii="Arial" w:hAnsi="Arial"/>
      <w:vanish/>
      <w:sz w:val="16"/>
      <w:szCs w:val="16"/>
    </w:rPr>
  </w:style>
  <w:style w:type="character" w:styleId="993">
    <w:name w:val="Char Char Char Char Char Char Char Char Char"/>
    <w:next w:val="993"/>
    <w:link w:val="994"/>
    <w:rPr>
      <w:rFonts w:ascii="Tahoma" w:hAnsi="Tahoma" w:eastAsia="宋体"/>
      <w:sz w:val="24"/>
      <w:lang w:val="en-US" w:eastAsia="zh-CN" w:bidi="ar-SA"/>
    </w:rPr>
  </w:style>
  <w:style w:type="paragraph" w:styleId="994">
    <w:name w:val="Char Char Char Char Char Char Char"/>
    <w:basedOn w:val="898"/>
    <w:next w:val="994"/>
    <w:link w:val="993"/>
    <w:pPr>
      <w:ind w:firstLine="480"/>
      <w:spacing w:line="360" w:lineRule="auto"/>
    </w:pPr>
    <w:rPr>
      <w:rFonts w:ascii="Tahoma" w:hAnsi="Tahoma"/>
      <w:sz w:val="24"/>
    </w:rPr>
  </w:style>
  <w:style w:type="character" w:styleId="995">
    <w:name w:val="porttext"/>
    <w:next w:val="995"/>
    <w:link w:val="898"/>
  </w:style>
  <w:style w:type="character" w:styleId="996">
    <w:name w:val="段落正文 Char Char"/>
    <w:next w:val="996"/>
    <w:link w:val="997"/>
    <w:rPr>
      <w:rFonts w:eastAsia="宋体"/>
      <w:sz w:val="24"/>
      <w:szCs w:val="24"/>
      <w:lang w:val="en-US" w:eastAsia="zh-CN" w:bidi="ar-SA"/>
    </w:rPr>
  </w:style>
  <w:style w:type="paragraph" w:styleId="997">
    <w:name w:val="段落正文"/>
    <w:basedOn w:val="898"/>
    <w:next w:val="997"/>
    <w:link w:val="996"/>
    <w:pPr>
      <w:ind w:firstLine="200"/>
      <w:spacing w:line="360" w:lineRule="auto"/>
    </w:pPr>
    <w:rPr>
      <w:sz w:val="24"/>
      <w:szCs w:val="24"/>
    </w:rPr>
  </w:style>
  <w:style w:type="character" w:styleId="998">
    <w:name w:val="unnamed21"/>
    <w:next w:val="998"/>
    <w:link w:val="898"/>
    <w:rPr>
      <w:color w:val="000000"/>
      <w:sz w:val="22"/>
    </w:rPr>
  </w:style>
  <w:style w:type="character" w:styleId="999">
    <w:name w:val="fs1"/>
    <w:next w:val="999"/>
    <w:link w:val="898"/>
    <w:rPr>
      <w:rFonts w:ascii="Verdana" w:hAnsi="Verdana"/>
      <w:color w:val="003366"/>
      <w:sz w:val="18"/>
      <w:u w:val="none"/>
    </w:rPr>
  </w:style>
  <w:style w:type="character" w:styleId="1000">
    <w:name w:val="nr"/>
    <w:next w:val="1000"/>
    <w:link w:val="898"/>
  </w:style>
  <w:style w:type="character" w:styleId="1001">
    <w:name w:val="profont"/>
    <w:next w:val="1001"/>
    <w:link w:val="898"/>
  </w:style>
  <w:style w:type="character" w:styleId="1002">
    <w:name w:val="msonormal"/>
    <w:next w:val="1002"/>
    <w:link w:val="898"/>
  </w:style>
  <w:style w:type="character" w:styleId="1003">
    <w:name w:val="txt1"/>
    <w:next w:val="1003"/>
    <w:link w:val="898"/>
    <w:rPr>
      <w:color w:val="000099"/>
      <w:sz w:val="20"/>
      <w:u w:val="none"/>
    </w:rPr>
  </w:style>
  <w:style w:type="character" w:styleId="1004">
    <w:name w:val="label"/>
    <w:next w:val="1004"/>
    <w:link w:val="898"/>
  </w:style>
  <w:style w:type="character" w:styleId="1005">
    <w:name w:val="cn21"/>
    <w:next w:val="1005"/>
    <w:link w:val="898"/>
    <w:rPr>
      <w:color w:val="ffffff"/>
      <w:sz w:val="18"/>
      <w:u w:val="none"/>
    </w:rPr>
  </w:style>
  <w:style w:type="character" w:styleId="1006">
    <w:name w:val="text"/>
    <w:next w:val="1006"/>
    <w:link w:val="898"/>
  </w:style>
  <w:style w:type="character" w:styleId="1007">
    <w:name w:val="标题 3 Char Char Char"/>
    <w:next w:val="1007"/>
    <w:link w:val="898"/>
    <w:rPr>
      <w:rFonts w:eastAsia="宋体"/>
      <w:b/>
      <w:color w:val="000000"/>
      <w:sz w:val="28"/>
      <w:lang w:val="en-US" w:eastAsia="zh-CN"/>
    </w:rPr>
  </w:style>
  <w:style w:type="character" w:styleId="1008">
    <w:name w:val="diy Char Char"/>
    <w:next w:val="1008"/>
    <w:link w:val="1009"/>
    <w:rPr>
      <w:rFonts w:ascii="宋体" w:hAnsi="宋体" w:eastAsia="宋体"/>
      <w:sz w:val="24"/>
      <w:lang w:val="en-US" w:eastAsia="zh-CN" w:bidi="ar-SA"/>
    </w:rPr>
  </w:style>
  <w:style w:type="paragraph" w:styleId="1009">
    <w:name w:val="diy"/>
    <w:basedOn w:val="898"/>
    <w:next w:val="1009"/>
    <w:link w:val="1008"/>
    <w:pPr>
      <w:ind w:firstLine="480"/>
      <w:spacing w:before="156" w:after="156" w:line="300" w:lineRule="auto"/>
      <w:tabs>
        <w:tab w:val="right" w:pos="9030" w:leader="middleDot"/>
      </w:tabs>
    </w:pPr>
    <w:rPr>
      <w:rFonts w:ascii="宋体" w:hAnsi="宋体"/>
      <w:sz w:val="24"/>
    </w:rPr>
  </w:style>
  <w:style w:type="character" w:styleId="1010">
    <w:name w:val="xxk_a"/>
    <w:next w:val="1010"/>
    <w:link w:val="898"/>
    <w:rPr>
      <w:rFonts w:ascii="Tahoma" w:hAnsi="Tahoma" w:eastAsia="宋体"/>
      <w:sz w:val="24"/>
      <w:szCs w:val="24"/>
      <w:lang w:val="en-US" w:eastAsia="zh-CN" w:bidi="ar-SA"/>
    </w:rPr>
  </w:style>
  <w:style w:type="character" w:styleId="1011">
    <w:name w:val="text1"/>
    <w:next w:val="1011"/>
    <w:link w:val="898"/>
    <w:rPr>
      <w:color w:val="cccccc"/>
      <w:sz w:val="18"/>
    </w:rPr>
  </w:style>
  <w:style w:type="character" w:styleId="1012">
    <w:name w:val="z-窗体底端 Char"/>
    <w:next w:val="1012"/>
    <w:link w:val="1013"/>
    <w:rPr>
      <w:rFonts w:ascii="Arial" w:hAnsi="Arial" w:cs="Arial"/>
      <w:vanish/>
      <w:sz w:val="16"/>
      <w:szCs w:val="16"/>
    </w:rPr>
  </w:style>
  <w:style w:type="paragraph" w:styleId="1013">
    <w:name w:val="z-窗体底端"/>
    <w:basedOn w:val="898"/>
    <w:next w:val="898"/>
    <w:link w:val="1012"/>
    <w:pPr>
      <w:jc w:val="center"/>
      <w:widowControl/>
      <w:pBdr>
        <w:top w:val="single" w:color="000000" w:sz="6" w:space="1"/>
      </w:pBdr>
    </w:pPr>
    <w:rPr>
      <w:rFonts w:ascii="Arial" w:hAnsi="Arial"/>
      <w:vanish/>
      <w:sz w:val="16"/>
      <w:szCs w:val="16"/>
    </w:rPr>
  </w:style>
  <w:style w:type="character" w:styleId="1014">
    <w:name w:val="DIY文本正文 Char Char"/>
    <w:next w:val="1014"/>
    <w:link w:val="1015"/>
    <w:rPr>
      <w:rFonts w:ascii="长城仿宋" w:eastAsia="宋体"/>
      <w:sz w:val="24"/>
      <w:lang w:val="en-US" w:eastAsia="zh-CN" w:bidi="ar-SA"/>
    </w:rPr>
  </w:style>
  <w:style w:type="paragraph" w:styleId="1015">
    <w:name w:val="DIY文本正文"/>
    <w:basedOn w:val="898"/>
    <w:next w:val="1015"/>
    <w:link w:val="1014"/>
    <w:pPr>
      <w:ind w:firstLine="454"/>
      <w:spacing w:line="300" w:lineRule="auto"/>
    </w:pPr>
    <w:rPr>
      <w:rFonts w:ascii="长城仿宋"/>
      <w:sz w:val="24"/>
    </w:rPr>
  </w:style>
  <w:style w:type="character" w:styleId="1016">
    <w:name w:val="body"/>
    <w:next w:val="1016"/>
    <w:link w:val="898"/>
  </w:style>
  <w:style w:type="character" w:styleId="1017">
    <w:name w:val="9font1"/>
    <w:next w:val="1017"/>
    <w:link w:val="898"/>
    <w:rPr>
      <w:rFonts w:hint="eastAsia" w:ascii="黑体" w:eastAsia="黑体"/>
      <w:color w:val="000000"/>
      <w:sz w:val="20"/>
    </w:rPr>
  </w:style>
  <w:style w:type="paragraph" w:styleId="1018">
    <w:name w:val="xl38"/>
    <w:basedOn w:val="898"/>
    <w:next w:val="1018"/>
    <w:link w:val="898"/>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19">
    <w:name w:val="版权"/>
    <w:basedOn w:val="898"/>
    <w:next w:val="1019"/>
    <w:link w:val="898"/>
    <w:pPr>
      <w:ind w:hanging="108"/>
      <w:jc w:val="center"/>
      <w:spacing w:before="120" w:line="400" w:lineRule="exact"/>
    </w:pPr>
    <w:rPr>
      <w:rFonts w:ascii="楷体_GB2312" w:hAnsi="Tahoma" w:eastAsia="楷体_GB2312"/>
      <w:b/>
      <w:sz w:val="24"/>
    </w:rPr>
  </w:style>
  <w:style w:type="paragraph" w:styleId="1020">
    <w:name w:val="标题5"/>
    <w:basedOn w:val="898"/>
    <w:next w:val="1020"/>
    <w:link w:val="898"/>
    <w:pPr>
      <w:spacing w:line="360" w:lineRule="auto"/>
    </w:pPr>
    <w:rPr>
      <w:sz w:val="24"/>
    </w:rPr>
  </w:style>
  <w:style w:type="paragraph" w:styleId="1021">
    <w:name w:val="文档正文"/>
    <w:basedOn w:val="898"/>
    <w:next w:val="1021"/>
    <w:link w:val="898"/>
    <w:pPr>
      <w:ind w:firstLine="567"/>
      <w:spacing w:line="480" w:lineRule="atLeast"/>
    </w:pPr>
    <w:rPr>
      <w:rFonts w:ascii="长城仿宋"/>
      <w:sz w:val="24"/>
    </w:rPr>
  </w:style>
  <w:style w:type="paragraph" w:styleId="1022">
    <w:name w:val="符号列表"/>
    <w:basedOn w:val="898"/>
    <w:next w:val="1022"/>
    <w:link w:val="898"/>
    <w:pPr>
      <w:jc w:val="left"/>
      <w:spacing w:line="440" w:lineRule="exact"/>
      <w:widowControl/>
    </w:pPr>
    <w:rPr>
      <w:rFonts w:ascii="宋体" w:hAnsi="宋体"/>
      <w:color w:val="000000"/>
    </w:rPr>
  </w:style>
  <w:style w:type="paragraph" w:styleId="1023">
    <w:name w:val="Txt"/>
    <w:basedOn w:val="1024"/>
    <w:next w:val="1023"/>
    <w:link w:val="898"/>
  </w:style>
  <w:style w:type="paragraph" w:styleId="1024">
    <w:name w:val="Txt."/>
    <w:basedOn w:val="902"/>
    <w:next w:val="1024"/>
    <w:link w:val="898"/>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1025">
    <w:name w:val="Table bold"/>
    <w:basedOn w:val="898"/>
    <w:next w:val="1025"/>
    <w:link w:val="898"/>
    <w:pPr>
      <w:ind w:left="420" w:hanging="420"/>
      <w:tabs>
        <w:tab w:val="left" w:pos="420" w:leader="none"/>
      </w:tabs>
    </w:pPr>
    <w:rPr>
      <w:rFonts w:ascii="宋体" w:hAnsi="宋体"/>
      <w:b/>
      <w:sz w:val="28"/>
    </w:rPr>
  </w:style>
  <w:style w:type="paragraph" w:styleId="1026">
    <w:name w:val="表格正文"/>
    <w:basedOn w:val="898"/>
    <w:next w:val="1026"/>
    <w:link w:val="898"/>
    <w:pPr>
      <w:ind w:hanging="108"/>
      <w:jc w:val="center"/>
      <w:spacing w:before="60" w:after="60" w:line="360" w:lineRule="auto"/>
      <w:widowControl/>
    </w:pPr>
    <w:rPr>
      <w:rFonts w:ascii="宋体" w:hAnsi="宋体"/>
      <w:color w:val="ff0000"/>
    </w:rPr>
  </w:style>
  <w:style w:type="paragraph" w:styleId="1027">
    <w:name w:val="xl30"/>
    <w:basedOn w:val="898"/>
    <w:next w:val="102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8">
    <w:name w:val="样式 图表 + 段后: 1 行"/>
    <w:basedOn w:val="898"/>
    <w:next w:val="1028"/>
    <w:link w:val="898"/>
    <w:pPr>
      <w:jc w:val="center"/>
      <w:keepNext/>
      <w:spacing w:after="312"/>
    </w:pPr>
    <w:rPr>
      <w:rFonts w:ascii="Arial" w:hAnsi="Arial"/>
      <w:b/>
      <w:color w:val="333333"/>
      <w:sz w:val="24"/>
    </w:rPr>
  </w:style>
  <w:style w:type="paragraph" w:styleId="1029">
    <w:name w:val="_Style 30"/>
    <w:basedOn w:val="898"/>
    <w:next w:val="941"/>
    <w:link w:val="898"/>
    <w:rPr>
      <w:rFonts w:ascii="宋体" w:hAnsi="Courier New"/>
    </w:rPr>
  </w:style>
  <w:style w:type="paragraph" w:styleId="1030">
    <w:name w:val="title1"/>
    <w:basedOn w:val="898"/>
    <w:next w:val="1030"/>
    <w:link w:val="898"/>
    <w:pPr>
      <w:numPr>
        <w:ilvl w:val="0"/>
        <w:numId w:val="5"/>
      </w:numPr>
      <w:ind w:left="960" w:hanging="240"/>
      <w:jc w:val="left"/>
      <w:tabs>
        <w:tab w:val="left" w:pos="719" w:leader="none"/>
      </w:tabs>
    </w:pPr>
    <w:rPr>
      <w:rFonts w:ascii="Wingdings" w:hAnsi="Wingdings" w:eastAsia="PMingLiU"/>
      <w:b/>
      <w:sz w:val="24"/>
      <w:lang w:eastAsia="zh-TW"/>
    </w:rPr>
  </w:style>
  <w:style w:type="paragraph" w:styleId="1031">
    <w:name w:val=" Char Char Char Char Char Char Char Char Char Char Char Char Char Char Char Char"/>
    <w:basedOn w:val="898"/>
    <w:next w:val="1031"/>
    <w:link w:val="898"/>
    <w:rPr>
      <w:rFonts w:ascii="Tahoma" w:hAnsi="Tahoma" w:eastAsia="仿宋_GB2312"/>
      <w:color w:val="000000"/>
      <w:sz w:val="24"/>
    </w:rPr>
  </w:style>
  <w:style w:type="paragraph" w:styleId="1032">
    <w:name w:val="biaoge1"/>
    <w:basedOn w:val="898"/>
    <w:next w:val="1032"/>
    <w:link w:val="898"/>
    <w:pPr>
      <w:jc w:val="left"/>
      <w:spacing w:before="100" w:beforeAutospacing="1" w:after="100" w:afterAutospacing="1" w:line="375" w:lineRule="atLeast"/>
      <w:widowControl/>
    </w:pPr>
    <w:rPr>
      <w:rFonts w:ascii="宋体" w:hAnsi="宋体" w:cs="宋体"/>
      <w:color w:val="000000"/>
      <w:sz w:val="20"/>
    </w:rPr>
  </w:style>
  <w:style w:type="paragraph" w:styleId="1033">
    <w:name w:val="Char Char"/>
    <w:basedOn w:val="926"/>
    <w:next w:val="1033"/>
    <w:link w:val="898"/>
    <w:pPr>
      <w:ind w:left="425" w:hanging="425"/>
      <w:tabs>
        <w:tab w:val="left" w:pos="425" w:leader="none"/>
      </w:tabs>
    </w:pPr>
    <w:rPr>
      <w:rFonts w:ascii="Tahoma" w:hAnsi="Tahoma"/>
      <w:sz w:val="24"/>
      <w:szCs w:val="24"/>
    </w:rPr>
  </w:style>
  <w:style w:type="paragraph" w:styleId="1034">
    <w:name w:val="xl32"/>
    <w:basedOn w:val="898"/>
    <w:next w:val="103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35">
    <w:name w:val="font7"/>
    <w:basedOn w:val="898"/>
    <w:next w:val="1035"/>
    <w:link w:val="898"/>
    <w:pPr>
      <w:jc w:val="left"/>
      <w:spacing w:before="100" w:beforeAutospacing="1" w:after="100" w:afterAutospacing="1"/>
      <w:widowControl/>
    </w:pPr>
    <w:rPr>
      <w:rFonts w:ascii="Verdana" w:hAnsi="Verdana"/>
      <w:sz w:val="20"/>
    </w:rPr>
  </w:style>
  <w:style w:type="paragraph" w:styleId="1036">
    <w:name w:val="表格"/>
    <w:basedOn w:val="898"/>
    <w:next w:val="1036"/>
    <w:link w:val="898"/>
    <w:pPr>
      <w:ind w:firstLine="42"/>
    </w:pPr>
    <w:rPr>
      <w:rFonts w:ascii="宋体" w:hAnsi="宋体"/>
      <w:sz w:val="20"/>
    </w:rPr>
  </w:style>
  <w:style w:type="paragraph" w:styleId="1037">
    <w:name w:val="word2"/>
    <w:basedOn w:val="898"/>
    <w:next w:val="1037"/>
    <w:link w:val="898"/>
    <w:pPr>
      <w:jc w:val="left"/>
      <w:spacing w:before="100" w:beforeAutospacing="1" w:after="100" w:afterAutospacing="1" w:line="348" w:lineRule="atLeast"/>
      <w:widowControl/>
    </w:pPr>
    <w:rPr>
      <w:rFonts w:ascii="宋体" w:hAnsi="宋体"/>
    </w:rPr>
  </w:style>
  <w:style w:type="paragraph" w:styleId="1038">
    <w:name w:val="标书1"/>
    <w:basedOn w:val="898"/>
    <w:next w:val="1038"/>
    <w:link w:val="898"/>
    <w:pPr>
      <w:ind w:firstLine="200"/>
      <w:spacing w:line="360" w:lineRule="auto"/>
    </w:pPr>
    <w:rPr>
      <w:sz w:val="24"/>
    </w:rPr>
  </w:style>
  <w:style w:type="paragraph" w:styleId="1039">
    <w:name w:val="标书正文格式"/>
    <w:next w:val="1039"/>
    <w:link w:val="898"/>
    <w:pPr>
      <w:ind w:firstLine="200"/>
      <w:spacing w:line="360" w:lineRule="auto"/>
    </w:pPr>
    <w:rPr>
      <w:rFonts w:eastAsia="仿宋_GB2312"/>
      <w:sz w:val="28"/>
      <w:lang w:val="en-US" w:eastAsia="zh-CN" w:bidi="ar-SA"/>
    </w:rPr>
  </w:style>
  <w:style w:type="paragraph" w:styleId="1040">
    <w:name w:val="_Style 31"/>
    <w:basedOn w:val="898"/>
    <w:next w:val="941"/>
    <w:link w:val="898"/>
    <w:rPr>
      <w:rFonts w:ascii="宋体" w:hAnsi="Courier New"/>
    </w:rPr>
  </w:style>
  <w:style w:type="paragraph" w:styleId="1041">
    <w:name w:val=" Char Char Char"/>
    <w:basedOn w:val="898"/>
    <w:next w:val="1041"/>
    <w:link w:val="898"/>
    <w:rPr>
      <w:rFonts w:ascii="Tahoma" w:hAnsi="Tahoma"/>
      <w:sz w:val="24"/>
    </w:rPr>
  </w:style>
  <w:style w:type="paragraph" w:styleId="1042">
    <w:name w:val="正文格式"/>
    <w:basedOn w:val="898"/>
    <w:next w:val="1042"/>
    <w:link w:val="898"/>
    <w:rPr>
      <w:spacing w:val="20"/>
      <w:sz w:val="24"/>
      <w:szCs w:val="24"/>
    </w:rPr>
  </w:style>
  <w:style w:type="paragraph" w:styleId="1043">
    <w:name w:val=" Char Char1 Char Char Char Char Char Char Char"/>
    <w:basedOn w:val="898"/>
    <w:next w:val="1043"/>
    <w:link w:val="898"/>
    <w:rPr>
      <w:rFonts w:ascii="Tahoma" w:hAnsi="Tahoma"/>
      <w:sz w:val="24"/>
    </w:rPr>
  </w:style>
  <w:style w:type="paragraph" w:styleId="1044">
    <w:name w:val="正文文字1"/>
    <w:basedOn w:val="933"/>
    <w:next w:val="1044"/>
    <w:link w:val="898"/>
    <w:pPr>
      <w:ind w:firstLine="560"/>
      <w:spacing w:before="156" w:after="156" w:line="360" w:lineRule="auto"/>
    </w:pPr>
    <w:rPr>
      <w:rFonts w:ascii="Arial" w:hAnsi="宋体"/>
      <w:sz w:val="24"/>
    </w:rPr>
  </w:style>
  <w:style w:type="paragraph" w:styleId="1045">
    <w:name w:val="Char Char Char Char"/>
    <w:basedOn w:val="926"/>
    <w:next w:val="1045"/>
    <w:link w:val="898"/>
    <w:pPr>
      <w:spacing w:line="360" w:lineRule="auto"/>
    </w:pPr>
    <w:rPr>
      <w:rFonts w:ascii="Tahoma" w:hAnsi="Tahoma"/>
      <w:sz w:val="24"/>
      <w:szCs w:val="24"/>
    </w:rPr>
  </w:style>
  <w:style w:type="paragraph" w:styleId="1046">
    <w:name w:val="_Style 27"/>
    <w:basedOn w:val="898"/>
    <w:next w:val="941"/>
    <w:link w:val="898"/>
    <w:rPr>
      <w:rFonts w:ascii="宋体" w:hAnsi="Courier New"/>
    </w:rPr>
  </w:style>
  <w:style w:type="paragraph" w:styleId="1047">
    <w:name w:val="卜"/>
    <w:basedOn w:val="898"/>
    <w:next w:val="1047"/>
    <w:link w:val="898"/>
    <w:pPr>
      <w:spacing w:line="480" w:lineRule="exact"/>
    </w:pPr>
    <w:rPr>
      <w:b/>
      <w:sz w:val="24"/>
    </w:rPr>
  </w:style>
  <w:style w:type="paragraph" w:styleId="1048">
    <w:name w:val="目录1"/>
    <w:basedOn w:val="898"/>
    <w:next w:val="1048"/>
    <w:link w:val="898"/>
    <w:pPr>
      <w:jc w:val="left"/>
      <w:spacing w:after="136" w:line="289" w:lineRule="atLeast"/>
      <w:widowControl/>
      <w:tabs>
        <w:tab w:val="left" w:pos="8503" w:leader="dot"/>
      </w:tabs>
    </w:pPr>
    <w:rPr>
      <w:rFonts w:ascii="Arial" w:eastAsia="黑体"/>
      <w:color w:val="000000"/>
      <w:sz w:val="28"/>
    </w:rPr>
  </w:style>
  <w:style w:type="paragraph" w:styleId="1049">
    <w:name w:val="table"/>
    <w:basedOn w:val="898"/>
    <w:next w:val="1049"/>
    <w:link w:val="898"/>
    <w:pPr>
      <w:jc w:val="left"/>
      <w:spacing w:before="100" w:beforeAutospacing="1" w:after="100" w:afterAutospacing="1"/>
      <w:widowControl/>
    </w:pPr>
    <w:rPr>
      <w:rFonts w:ascii="宋体" w:hAnsi="宋体"/>
      <w:sz w:val="24"/>
    </w:rPr>
  </w:style>
  <w:style w:type="paragraph" w:styleId="1050">
    <w:name w:val="样式7"/>
    <w:basedOn w:val="898"/>
    <w:next w:val="1050"/>
    <w:link w:val="898"/>
    <w:pPr>
      <w:ind w:firstLine="601"/>
      <w:spacing w:line="440" w:lineRule="atLeast"/>
    </w:pPr>
    <w:rPr>
      <w:rFonts w:ascii="宋体"/>
      <w:sz w:val="24"/>
    </w:rPr>
  </w:style>
  <w:style w:type="paragraph" w:styleId="1051">
    <w:name w:val="表格栏头"/>
    <w:basedOn w:val="1026"/>
    <w:next w:val="1026"/>
    <w:link w:val="898"/>
    <w:rPr>
      <w:b/>
    </w:rPr>
  </w:style>
  <w:style w:type="paragraph" w:styleId="1052">
    <w:name w:val="表正文"/>
    <w:basedOn w:val="898"/>
    <w:next w:val="898"/>
    <w:link w:val="898"/>
    <w:rPr>
      <w:sz w:val="24"/>
    </w:rPr>
  </w:style>
  <w:style w:type="paragraph" w:styleId="1053">
    <w:name w:val="声明文字"/>
    <w:basedOn w:val="898"/>
    <w:next w:val="1053"/>
    <w:link w:val="898"/>
    <w:pPr>
      <w:ind w:hanging="108"/>
      <w:spacing w:before="60" w:after="240" w:line="400" w:lineRule="exact"/>
      <w:widowControl/>
    </w:pPr>
    <w:rPr>
      <w:rFonts w:eastAsia="楷体_GB2312"/>
      <w:sz w:val="24"/>
    </w:rPr>
  </w:style>
  <w:style w:type="paragraph" w:styleId="1054">
    <w:name w:val="Table Text"/>
    <w:basedOn w:val="898"/>
    <w:next w:val="898"/>
    <w:link w:val="898"/>
    <w:pPr>
      <w:jc w:val="left"/>
      <w:keepNext/>
      <w:spacing w:before="40" w:after="40"/>
      <w:widowControl/>
    </w:pPr>
    <w:rPr>
      <w:rFonts w:ascii="Arial" w:hAnsi="Arial" w:eastAsia="PMingLiU"/>
      <w:sz w:val="18"/>
    </w:rPr>
  </w:style>
  <w:style w:type="paragraph" w:styleId="1055">
    <w:name w:val="xl36"/>
    <w:basedOn w:val="898"/>
    <w:next w:val="1055"/>
    <w:link w:val="898"/>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56">
    <w:name w:val="xl35"/>
    <w:basedOn w:val="898"/>
    <w:next w:val="1056"/>
    <w:link w:val="898"/>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57">
    <w:name w:val=" Char Char Char Char"/>
    <w:basedOn w:val="898"/>
    <w:next w:val="1057"/>
    <w:link w:val="898"/>
    <w:pPr>
      <w:spacing w:line="360" w:lineRule="atLeast"/>
    </w:pPr>
  </w:style>
  <w:style w:type="paragraph" w:styleId="1058">
    <w:name w:val="标题3"/>
    <w:basedOn w:val="898"/>
    <w:next w:val="1058"/>
    <w:link w:val="898"/>
    <w:pPr>
      <w:spacing w:before="78" w:after="78" w:line="300" w:lineRule="auto"/>
    </w:pPr>
    <w:rPr>
      <w:rFonts w:ascii="宋体" w:hAnsi="宋体"/>
      <w:b/>
      <w:sz w:val="28"/>
    </w:rPr>
  </w:style>
  <w:style w:type="paragraph" w:styleId="1059">
    <w:name w:val="样式1"/>
    <w:basedOn w:val="898"/>
    <w:next w:val="899"/>
    <w:link w:val="898"/>
    <w:pPr>
      <w:jc w:val="center"/>
    </w:pPr>
    <w:rPr>
      <w:rFonts w:ascii="Arial" w:hAnsi="Arial"/>
      <w:sz w:val="24"/>
    </w:rPr>
  </w:style>
  <w:style w:type="paragraph" w:styleId="1060">
    <w:name w:val="font5"/>
    <w:basedOn w:val="898"/>
    <w:next w:val="1060"/>
    <w:link w:val="898"/>
    <w:pPr>
      <w:jc w:val="left"/>
      <w:spacing w:before="100" w:beforeAutospacing="1" w:after="100" w:afterAutospacing="1"/>
      <w:widowControl/>
    </w:pPr>
    <w:rPr>
      <w:rFonts w:hint="eastAsia" w:ascii="宋体" w:hAnsi="宋体"/>
      <w:sz w:val="18"/>
    </w:rPr>
  </w:style>
  <w:style w:type="paragraph" w:styleId="1061">
    <w:name w:val=" Char1"/>
    <w:basedOn w:val="898"/>
    <w:next w:val="1061"/>
    <w:link w:val="898"/>
    <w:pPr>
      <w:numPr>
        <w:ilvl w:val="0"/>
        <w:numId w:val="1"/>
      </w:numPr>
      <w:tabs>
        <w:tab w:val="left" w:pos="381" w:leader="none"/>
      </w:tabs>
    </w:pPr>
    <w:rPr>
      <w:sz w:val="24"/>
      <w:szCs w:val="24"/>
    </w:rPr>
  </w:style>
  <w:style w:type="paragraph" w:styleId="1062">
    <w:name w:val="xl25"/>
    <w:basedOn w:val="898"/>
    <w:next w:val="1062"/>
    <w:link w:val="89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063">
    <w:name w:val="列表内容"/>
    <w:basedOn w:val="898"/>
    <w:next w:val="898"/>
    <w:link w:val="898"/>
    <w:pPr>
      <w:numPr>
        <w:ilvl w:val="0"/>
        <w:numId w:val="6"/>
      </w:numPr>
      <w:ind w:left="0" w:firstLine="200"/>
      <w:jc w:val="left"/>
      <w:widowControl/>
      <w:tabs>
        <w:tab w:val="left" w:pos="840" w:leader="none"/>
      </w:tabs>
    </w:pPr>
    <w:rPr>
      <w:sz w:val="18"/>
    </w:rPr>
  </w:style>
  <w:style w:type="paragraph" w:styleId="1064">
    <w:name w:val="Plain Text"/>
    <w:basedOn w:val="898"/>
    <w:next w:val="1064"/>
    <w:link w:val="898"/>
    <w:rPr>
      <w:rFonts w:ascii="宋体" w:hAnsi="Courier New" w:eastAsia="楷体_GB2312"/>
      <w:sz w:val="26"/>
    </w:rPr>
  </w:style>
  <w:style w:type="paragraph" w:styleId="1065">
    <w:name w:val="List Bullet 1"/>
    <w:basedOn w:val="901"/>
    <w:next w:val="1065"/>
    <w:link w:val="898"/>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66">
    <w:name w:val="xl39"/>
    <w:basedOn w:val="898"/>
    <w:next w:val="1066"/>
    <w:link w:val="89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067">
    <w:name w:val="新正文"/>
    <w:basedOn w:val="898"/>
    <w:next w:val="1067"/>
    <w:link w:val="898"/>
    <w:pPr>
      <w:ind w:firstLine="510"/>
      <w:spacing w:line="360" w:lineRule="auto"/>
    </w:pPr>
    <w:rPr>
      <w:rFonts w:eastAsia="仿宋_GB2312"/>
      <w:sz w:val="24"/>
    </w:rPr>
  </w:style>
  <w:style w:type="paragraph" w:styleId="1068">
    <w:name w:val="SRS标题2"/>
    <w:basedOn w:val="898"/>
    <w:next w:val="1068"/>
    <w:link w:val="898"/>
    <w:pPr>
      <w:ind w:left="431" w:hanging="431"/>
      <w:jc w:val="left"/>
      <w:spacing w:before="312"/>
      <w:widowControl/>
      <w:tabs>
        <w:tab w:val="left" w:pos="720" w:leader="none"/>
      </w:tabs>
      <w:outlineLvl w:val="1"/>
    </w:pPr>
    <w:rPr>
      <w:b/>
      <w:sz w:val="28"/>
    </w:rPr>
  </w:style>
  <w:style w:type="paragraph" w:styleId="1069">
    <w:name w:val="xl31"/>
    <w:basedOn w:val="898"/>
    <w:next w:val="1069"/>
    <w:link w:val="8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70">
    <w:name w:val="样式 标题 3H3Titre33heading 3Heading 3 - oldH31H32H33H34H3..."/>
    <w:basedOn w:val="901"/>
    <w:next w:val="1070"/>
    <w:link w:val="898"/>
    <w:pPr>
      <w:spacing w:before="0" w:after="0" w:line="480" w:lineRule="auto"/>
    </w:pPr>
    <w:rPr>
      <w:rFonts w:eastAsia="楷体_GB2312"/>
      <w:bCs/>
      <w:color w:val="99cc00"/>
      <w:szCs w:val="32"/>
    </w:rPr>
  </w:style>
  <w:style w:type="paragraph" w:styleId="1071">
    <w:name w:val="规范正文"/>
    <w:basedOn w:val="898"/>
    <w:next w:val="1071"/>
    <w:link w:val="898"/>
    <w:pPr>
      <w:ind w:left="480"/>
      <w:spacing w:line="360" w:lineRule="auto"/>
    </w:pPr>
    <w:rPr>
      <w:sz w:val="24"/>
    </w:rPr>
  </w:style>
  <w:style w:type="paragraph" w:styleId="1072">
    <w:name w:val="项目符号2"/>
    <w:basedOn w:val="898"/>
    <w:next w:val="1072"/>
    <w:link w:val="898"/>
    <w:pPr>
      <w:spacing w:line="360" w:lineRule="auto"/>
    </w:pPr>
    <w:rPr>
      <w:sz w:val="24"/>
    </w:rPr>
  </w:style>
  <w:style w:type="paragraph" w:styleId="1073">
    <w:name w:val="xl41"/>
    <w:basedOn w:val="898"/>
    <w:next w:val="1073"/>
    <w:link w:val="898"/>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4">
    <w:name w:val="xl28"/>
    <w:basedOn w:val="898"/>
    <w:next w:val="107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75">
    <w:name w:val="xl27"/>
    <w:basedOn w:val="898"/>
    <w:next w:val="1075"/>
    <w:link w:val="89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6">
    <w:name w:val="接續本文"/>
    <w:basedOn w:val="933"/>
    <w:next w:val="1076"/>
    <w:link w:val="898"/>
    <w:pPr>
      <w:ind w:left="1080"/>
      <w:keepNext/>
      <w:spacing w:after="240" w:line="240" w:lineRule="atLeast"/>
      <w:widowControl/>
    </w:pPr>
    <w:rPr>
      <w:rFonts w:ascii="Arial" w:hAnsi="Arial" w:eastAsia="PMingLiU"/>
      <w:spacing w:val="-5"/>
      <w:sz w:val="20"/>
      <w:lang w:eastAsia="zh-TW" w:bidi="he-IL"/>
    </w:rPr>
  </w:style>
  <w:style w:type="paragraph" w:styleId="1077">
    <w:name w:val="样式 标题 2H2sect 1.2H21sect 1.21H22sect 1.22H211sect 1.211...2"/>
    <w:basedOn w:val="900"/>
    <w:next w:val="1077"/>
    <w:link w:val="898"/>
    <w:pPr>
      <w:numPr>
        <w:ilvl w:val="0"/>
        <w:numId w:val="0"/>
      </w:numPr>
      <w:keepLines/>
      <w:spacing w:before="260" w:after="260" w:line="413" w:lineRule="auto"/>
      <w:tabs>
        <w:tab w:val="left" w:pos="420" w:leader="none"/>
      </w:tabs>
    </w:pPr>
    <w:rPr>
      <w:bCs/>
      <w:color w:val="99cc00"/>
      <w:sz w:val="36"/>
      <w:szCs w:val="36"/>
    </w:rPr>
  </w:style>
  <w:style w:type="paragraph" w:styleId="1078">
    <w:name w:val="xl37"/>
    <w:basedOn w:val="898"/>
    <w:next w:val="1078"/>
    <w:link w:val="898"/>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79">
    <w:name w:val="Figure-1"/>
    <w:next w:val="1079"/>
    <w:link w:val="898"/>
    <w:pPr>
      <w:ind w:left="1304"/>
      <w:spacing w:after="156"/>
    </w:pPr>
    <w:rPr>
      <w:rFonts w:ascii="Arial" w:hAnsi="Arial"/>
      <w:color w:val="000000"/>
      <w:lang w:val="zh-CN" w:eastAsia="zh-CN" w:bidi="ar-SA"/>
    </w:rPr>
  </w:style>
  <w:style w:type="paragraph" w:styleId="1080">
    <w:name w:val="style29 style28"/>
    <w:basedOn w:val="898"/>
    <w:next w:val="1080"/>
    <w:link w:val="898"/>
    <w:pPr>
      <w:jc w:val="left"/>
      <w:spacing w:before="100" w:beforeAutospacing="1" w:after="100" w:afterAutospacing="1"/>
      <w:widowControl/>
    </w:pPr>
    <w:rPr>
      <w:rFonts w:ascii="宋体" w:hAnsi="宋体"/>
      <w:sz w:val="24"/>
      <w:szCs w:val="24"/>
    </w:rPr>
  </w:style>
  <w:style w:type="paragraph" w:styleId="1081">
    <w:name w:val=" Char Char1"/>
    <w:basedOn w:val="898"/>
    <w:next w:val="1081"/>
    <w:link w:val="898"/>
    <w:pPr>
      <w:jc w:val="left"/>
      <w:spacing w:after="160" w:line="240" w:lineRule="exact"/>
      <w:widowControl/>
    </w:pPr>
    <w:rPr>
      <w:sz w:val="24"/>
      <w:szCs w:val="24"/>
    </w:rPr>
  </w:style>
  <w:style w:type="paragraph" w:styleId="1082">
    <w:name w:val="xl34"/>
    <w:basedOn w:val="898"/>
    <w:next w:val="1082"/>
    <w:link w:val="89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83">
    <w:name w:val="小标题"/>
    <w:basedOn w:val="898"/>
    <w:next w:val="1083"/>
    <w:link w:val="898"/>
    <w:pPr>
      <w:spacing w:line="360" w:lineRule="auto"/>
    </w:pPr>
    <w:rPr>
      <w:rFonts w:ascii="宋体" w:hAnsi="Arial"/>
      <w:b/>
    </w:rPr>
  </w:style>
  <w:style w:type="paragraph" w:styleId="1084">
    <w:name w:val="Í¼ºÅ"/>
    <w:basedOn w:val="898"/>
    <w:next w:val="1084"/>
    <w:link w:val="898"/>
    <w:pPr>
      <w:jc w:val="center"/>
      <w:spacing w:after="210"/>
      <w:widowControl/>
    </w:pPr>
    <w:rPr>
      <w:rFonts w:ascii="宋体"/>
    </w:rPr>
  </w:style>
  <w:style w:type="paragraph" w:styleId="1085">
    <w:name w:val="样式 标题 2H2sect 1.2H21sect 1.21H22sect 1.22H211sect 1.211..."/>
    <w:basedOn w:val="900"/>
    <w:next w:val="1085"/>
    <w:link w:val="898"/>
    <w:pPr>
      <w:numPr>
        <w:ilvl w:val="0"/>
        <w:numId w:val="0"/>
      </w:numPr>
      <w:keepLines/>
      <w:spacing w:before="260" w:after="260" w:line="360" w:lineRule="auto"/>
      <w:tabs>
        <w:tab w:val="left" w:pos="420" w:leader="none"/>
      </w:tabs>
    </w:pPr>
    <w:rPr>
      <w:rFonts w:cs="宋体"/>
      <w:bCs/>
      <w:color w:val="99cc00"/>
      <w:sz w:val="36"/>
    </w:rPr>
  </w:style>
  <w:style w:type="paragraph" w:styleId="1086">
    <w:name w:val="xl33"/>
    <w:basedOn w:val="898"/>
    <w:next w:val="1086"/>
    <w:link w:val="89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087">
    <w:name w:val="正文首行缩进2字"/>
    <w:basedOn w:val="898"/>
    <w:next w:val="1087"/>
    <w:link w:val="898"/>
    <w:pPr>
      <w:ind w:firstLine="567"/>
      <w:spacing w:before="100" w:beforeAutospacing="1" w:after="100" w:afterAutospacing="1"/>
    </w:pPr>
    <w:rPr>
      <w:rFonts w:eastAsia="楷体_GB2312"/>
      <w:sz w:val="28"/>
    </w:rPr>
  </w:style>
  <w:style w:type="paragraph" w:styleId="1088">
    <w:name w:val="Cap_表头文字1"/>
    <w:next w:val="1088"/>
    <w:link w:val="898"/>
    <w:pPr>
      <w:jc w:val="center"/>
      <w:keepLines/>
      <w:keepNext/>
    </w:pPr>
    <w:rPr>
      <w:rFonts w:ascii="Arial Bold" w:hAnsi="Arial Bold" w:cs="Arial"/>
      <w:b/>
      <w:spacing w:val="10"/>
      <w:sz w:val="18"/>
      <w:szCs w:val="24"/>
      <w:lang w:val="en-US" w:eastAsia="en-US" w:bidi="ar-SA"/>
    </w:rPr>
  </w:style>
  <w:style w:type="paragraph" w:styleId="1089">
    <w:name w:val="信息标题2"/>
    <w:basedOn w:val="924"/>
    <w:next w:val="924"/>
    <w:link w:val="898"/>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90">
    <w:name w:val=" Char"/>
    <w:basedOn w:val="898"/>
    <w:next w:val="1090"/>
    <w:link w:val="898"/>
    <w:pPr>
      <w:numPr>
        <w:ilvl w:val="0"/>
        <w:numId w:val="1"/>
      </w:numPr>
      <w:tabs>
        <w:tab w:val="left" w:pos="381" w:leader="none"/>
      </w:tabs>
    </w:pPr>
    <w:rPr>
      <w:sz w:val="24"/>
      <w:szCs w:val="24"/>
    </w:rPr>
  </w:style>
  <w:style w:type="paragraph" w:styleId="1091">
    <w:name w:val="Command"/>
    <w:next w:val="1091"/>
    <w:link w:val="898"/>
    <w:pPr>
      <w:spacing w:before="160" w:after="160"/>
    </w:pPr>
    <w:rPr>
      <w:rFonts w:ascii="Arial" w:hAnsi="Arial" w:eastAsia="黑体"/>
      <w:sz w:val="21"/>
      <w:lang w:val="en-US" w:eastAsia="zh-CN" w:bidi="ar-SA"/>
    </w:rPr>
  </w:style>
  <w:style w:type="paragraph" w:styleId="1092">
    <w:name w:val="xl40"/>
    <w:basedOn w:val="898"/>
    <w:next w:val="109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3">
    <w:name w:val="font6"/>
    <w:basedOn w:val="898"/>
    <w:next w:val="1093"/>
    <w:link w:val="898"/>
    <w:pPr>
      <w:jc w:val="left"/>
      <w:spacing w:before="100" w:beforeAutospacing="1" w:after="100" w:afterAutospacing="1"/>
      <w:widowControl/>
    </w:pPr>
    <w:rPr>
      <w:rFonts w:hint="eastAsia" w:ascii="宋体" w:hAnsi="宋体"/>
      <w:sz w:val="20"/>
    </w:rPr>
  </w:style>
  <w:style w:type="paragraph" w:styleId="1094">
    <w:name w:val="dit"/>
    <w:basedOn w:val="902"/>
    <w:next w:val="1094"/>
    <w:link w:val="898"/>
    <w:pPr>
      <w:ind w:left="0" w:firstLine="0"/>
      <w:jc w:val="both"/>
      <w:keepLines/>
      <w:keepNext/>
      <w:spacing w:before="0" w:after="0" w:line="300" w:lineRule="auto"/>
      <w:widowControl w:val="off"/>
    </w:pPr>
    <w:rPr>
      <w:b/>
      <w:color w:val="000000"/>
      <w:u w:val="none"/>
    </w:rPr>
  </w:style>
  <w:style w:type="paragraph" w:styleId="1095">
    <w:name w:val="标题1"/>
    <w:basedOn w:val="901"/>
    <w:next w:val="1095"/>
    <w:link w:val="898"/>
    <w:pPr>
      <w:jc w:val="center"/>
      <w:spacing w:before="78" w:after="78" w:line="300" w:lineRule="auto"/>
    </w:pPr>
    <w:rPr>
      <w:rFonts w:ascii="宋体" w:hAnsi="宋体"/>
      <w:sz w:val="44"/>
    </w:rPr>
  </w:style>
  <w:style w:type="paragraph" w:styleId="1096">
    <w:name w:val="声明标题"/>
    <w:basedOn w:val="898"/>
    <w:next w:val="1096"/>
    <w:link w:val="898"/>
    <w:pPr>
      <w:ind w:hanging="108"/>
      <w:jc w:val="left"/>
      <w:spacing w:before="1680" w:after="600" w:line="400" w:lineRule="exact"/>
      <w:widowControl/>
    </w:pPr>
    <w:rPr>
      <w:rFonts w:ascii="Arial" w:hAnsi="Arial" w:eastAsia="黑体"/>
      <w:b/>
      <w:sz w:val="36"/>
    </w:rPr>
  </w:style>
  <w:style w:type="paragraph" w:styleId="1097">
    <w:name w:val="样式SZA"/>
    <w:basedOn w:val="933"/>
    <w:next w:val="1097"/>
    <w:link w:val="898"/>
    <w:pPr>
      <w:numPr>
        <w:ilvl w:val="0"/>
        <w:numId w:val="7"/>
      </w:numPr>
      <w:jc w:val="left"/>
      <w:spacing w:after="220" w:line="220" w:lineRule="atLeast"/>
      <w:widowControl/>
      <w:tabs>
        <w:tab w:val="left" w:pos="660" w:leader="none"/>
      </w:tabs>
    </w:pPr>
  </w:style>
  <w:style w:type="paragraph" w:styleId="1098">
    <w:name w:val="xl43"/>
    <w:basedOn w:val="898"/>
    <w:next w:val="1098"/>
    <w:link w:val="89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99">
    <w:name w:val="H2]"/>
    <w:basedOn w:val="899"/>
    <w:next w:val="1099"/>
    <w:link w:val="898"/>
    <w:pPr>
      <w:numPr>
        <w:ilvl w:val="0"/>
        <w:numId w:val="0"/>
      </w:numPr>
      <w:jc w:val="both"/>
      <w:keepLines/>
      <w:spacing w:before="340" w:after="330" w:line="576" w:lineRule="auto"/>
      <w:tabs>
        <w:tab w:val="left" w:pos="405" w:leader="none"/>
      </w:tabs>
    </w:pPr>
    <w:rPr>
      <w:b/>
      <w:sz w:val="36"/>
    </w:rPr>
  </w:style>
  <w:style w:type="paragraph" w:styleId="1100">
    <w:name w:val="def正文"/>
    <w:basedOn w:val="933"/>
    <w:next w:val="1100"/>
    <w:link w:val="898"/>
    <w:pPr>
      <w:ind w:firstLine="482"/>
      <w:spacing w:after="0" w:line="360" w:lineRule="auto"/>
      <w:widowControl/>
    </w:pPr>
    <w:rPr>
      <w:rFonts w:ascii="宋体" w:hAnsi="宋体"/>
      <w:b/>
      <w:sz w:val="24"/>
      <w:szCs w:val="24"/>
    </w:rPr>
  </w:style>
  <w:style w:type="paragraph" w:styleId="1101">
    <w:name w:val="Normal 12 after"/>
    <w:basedOn w:val="898"/>
    <w:next w:val="1101"/>
    <w:link w:val="898"/>
    <w:pPr>
      <w:ind w:left="720"/>
      <w:spacing w:after="120"/>
      <w:widowControl/>
    </w:pPr>
    <w:rPr>
      <w:rFonts w:ascii="Century Schoolbook" w:hAnsi="Century Schoolbook"/>
      <w:color w:val="000000"/>
      <w:sz w:val="20"/>
    </w:rPr>
  </w:style>
  <w:style w:type="paragraph" w:styleId="1102">
    <w:name w:val="BodyText1"/>
    <w:basedOn w:val="898"/>
    <w:next w:val="1102"/>
    <w:link w:val="898"/>
    <w:pPr>
      <w:spacing w:before="120" w:after="120" w:line="360" w:lineRule="auto"/>
      <w:widowControl/>
    </w:pPr>
    <w:rPr>
      <w:rFonts w:ascii="宋体"/>
      <w:sz w:val="28"/>
    </w:rPr>
  </w:style>
  <w:style w:type="paragraph" w:styleId="1103">
    <w:name w:val="table text"/>
    <w:basedOn w:val="898"/>
    <w:next w:val="1103"/>
    <w:link w:val="898"/>
    <w:pPr>
      <w:jc w:val="left"/>
      <w:spacing w:before="40" w:after="40" w:line="240" w:lineRule="atLeast"/>
      <w:widowControl/>
    </w:pPr>
    <w:rPr>
      <w:color w:val="000000"/>
      <w:sz w:val="20"/>
    </w:rPr>
  </w:style>
  <w:style w:type="paragraph" w:styleId="1104">
    <w:name w:val="xl42"/>
    <w:basedOn w:val="898"/>
    <w:next w:val="1104"/>
    <w:link w:val="89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5">
    <w:name w:val=" Char1 Char Char Char Char Char Char"/>
    <w:basedOn w:val="898"/>
    <w:next w:val="1105"/>
    <w:link w:val="898"/>
    <w:rPr>
      <w:rFonts w:ascii="Tahoma" w:hAnsi="Tahoma"/>
      <w:sz w:val="24"/>
    </w:rPr>
  </w:style>
  <w:style w:type="paragraph" w:styleId="1106">
    <w:name w:val="表格标题"/>
    <w:basedOn w:val="1026"/>
    <w:next w:val="1106"/>
    <w:link w:val="898"/>
    <w:pPr>
      <w:ind w:firstLine="0"/>
      <w:spacing w:before="0" w:after="0" w:line="240" w:lineRule="atLeast"/>
      <w:widowControl w:val="off"/>
    </w:pPr>
    <w:rPr>
      <w:rFonts w:ascii="Times New Roman" w:hAnsi="Times New Roman" w:eastAsia="楷体_GB2312"/>
      <w:b/>
    </w:rPr>
  </w:style>
  <w:style w:type="paragraph" w:styleId="1107">
    <w:name w:val="_Style 28"/>
    <w:basedOn w:val="898"/>
    <w:next w:val="941"/>
    <w:link w:val="898"/>
    <w:rPr>
      <w:rFonts w:ascii="宋体" w:hAnsi="Courier New"/>
    </w:rPr>
  </w:style>
  <w:style w:type="paragraph" w:styleId="1108">
    <w:name w:val="xl29"/>
    <w:basedOn w:val="898"/>
    <w:next w:val="1108"/>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09">
    <w:name w:val="È±Ê¡ÎÄ±¾"/>
    <w:basedOn w:val="898"/>
    <w:next w:val="1109"/>
    <w:link w:val="898"/>
    <w:pPr>
      <w:widowControl/>
    </w:pPr>
    <w:rPr>
      <w:sz w:val="24"/>
    </w:rPr>
  </w:style>
  <w:style w:type="paragraph" w:styleId="1110">
    <w:name w:val="new"/>
    <w:basedOn w:val="898"/>
    <w:next w:val="1110"/>
    <w:link w:val="898"/>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11">
    <w:name w:val="SRS标题1"/>
    <w:basedOn w:val="898"/>
    <w:next w:val="1111"/>
    <w:link w:val="898"/>
    <w:pPr>
      <w:ind w:left="432" w:hanging="432"/>
      <w:jc w:val="left"/>
      <w:spacing w:before="468" w:after="156"/>
      <w:widowControl/>
      <w:tabs>
        <w:tab w:val="left" w:pos="432" w:leader="none"/>
      </w:tabs>
      <w:outlineLvl w:val="0"/>
    </w:pPr>
    <w:rPr>
      <w:b/>
      <w:sz w:val="32"/>
    </w:rPr>
  </w:style>
  <w:style w:type="paragraph" w:styleId="1112">
    <w:name w:val="xl24"/>
    <w:basedOn w:val="898"/>
    <w:next w:val="1112"/>
    <w:link w:val="89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13">
    <w:name w:val="Table Art"/>
    <w:basedOn w:val="898"/>
    <w:next w:val="898"/>
    <w:link w:val="898"/>
    <w:pPr>
      <w:jc w:val="left"/>
      <w:spacing w:before="40"/>
      <w:widowControl/>
    </w:pPr>
    <w:rPr>
      <w:rFonts w:eastAsia="PMingLiU"/>
      <w:sz w:val="20"/>
      <w:lang w:eastAsia="en-US"/>
    </w:rPr>
  </w:style>
  <w:style w:type="paragraph" w:styleId="1114">
    <w:name w:val="Heading 2"/>
    <w:basedOn w:val="898"/>
    <w:next w:val="1114"/>
    <w:link w:val="898"/>
    <w:pPr>
      <w:ind w:left="360" w:hanging="360"/>
      <w:jc w:val="left"/>
      <w:widowControl/>
      <w:tabs>
        <w:tab w:val="left" w:pos="360" w:leader="none"/>
      </w:tabs>
    </w:pPr>
    <w:rPr>
      <w:rFonts w:ascii="Arial" w:hAnsi="Arial" w:eastAsia="PMingLiU"/>
      <w:sz w:val="22"/>
      <w:lang w:eastAsia="zh-TW"/>
    </w:rPr>
  </w:style>
  <w:style w:type="paragraph" w:styleId="1115">
    <w:name w:val="标题2"/>
    <w:basedOn w:val="900"/>
    <w:next w:val="1115"/>
    <w:link w:val="898"/>
    <w:pPr>
      <w:numPr>
        <w:ilvl w:val="0"/>
        <w:numId w:val="0"/>
      </w:numPr>
      <w:keepLines/>
      <w:spacing w:before="78" w:after="78" w:line="440" w:lineRule="exact"/>
      <w:tabs>
        <w:tab w:val="left" w:pos="420" w:leader="none"/>
      </w:tabs>
    </w:pPr>
    <w:rPr>
      <w:rFonts w:ascii="Arial" w:hAnsi="Arial"/>
      <w:sz w:val="32"/>
    </w:rPr>
  </w:style>
  <w:style w:type="paragraph" w:styleId="1116">
    <w:name w:val="正文2"/>
    <w:basedOn w:val="898"/>
    <w:next w:val="1116"/>
    <w:link w:val="898"/>
    <w:pPr>
      <w:ind w:firstLine="200"/>
      <w:jc w:val="left"/>
      <w:spacing w:after="160" w:line="360" w:lineRule="auto"/>
      <w:widowControl/>
    </w:pPr>
    <w:rPr>
      <w:rFonts w:ascii="Tahoma" w:hAnsi="Tahoma"/>
      <w:sz w:val="24"/>
      <w:szCs w:val="24"/>
    </w:rPr>
  </w:style>
  <w:style w:type="paragraph" w:styleId="1117">
    <w:name w:val="样式 标题 4 + (西文) 宋体 小四"/>
    <w:basedOn w:val="898"/>
    <w:next w:val="1117"/>
    <w:link w:val="898"/>
    <w:pPr>
      <w:spacing w:line="360" w:lineRule="auto"/>
    </w:pPr>
    <w:rPr>
      <w:rFonts w:ascii="宋体" w:hAnsi="宋体" w:eastAsia="仿宋_GB2312"/>
      <w:bCs/>
      <w:sz w:val="24"/>
    </w:rPr>
  </w:style>
  <w:style w:type="paragraph" w:styleId="1118">
    <w:name w:val="方案正文"/>
    <w:basedOn w:val="898"/>
    <w:next w:val="1118"/>
    <w:link w:val="898"/>
    <w:qFormat/>
    <w:pPr>
      <w:ind w:firstLine="454"/>
      <w:jc w:val="left"/>
      <w:spacing w:line="360" w:lineRule="auto"/>
    </w:pPr>
    <w:rPr>
      <w:rFonts w:ascii="Arial" w:hAnsi="Arial"/>
      <w:bCs/>
      <w:szCs w:val="24"/>
    </w:rPr>
  </w:style>
  <w:style w:type="paragraph" w:styleId="1119">
    <w:name w:val="xl26"/>
    <w:basedOn w:val="898"/>
    <w:next w:val="1119"/>
    <w:link w:val="89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20">
    <w:name w:val="无缩进正文"/>
    <w:basedOn w:val="898"/>
    <w:next w:val="1120"/>
    <w:link w:val="898"/>
  </w:style>
  <w:style w:type="paragraph" w:styleId="1121">
    <w:name w:val="_Style 29"/>
    <w:basedOn w:val="898"/>
    <w:next w:val="941"/>
    <w:link w:val="898"/>
    <w:rPr>
      <w:rFonts w:ascii="宋体" w:hAnsi="Courier New"/>
    </w:rPr>
  </w:style>
  <w:style w:type="paragraph" w:styleId="1122">
    <w:name w:val="样式 标题 1 + 仿宋_GB2312 三号"/>
    <w:basedOn w:val="899"/>
    <w:next w:val="1122"/>
    <w:link w:val="898"/>
    <w:pPr>
      <w:numPr>
        <w:ilvl w:val="0"/>
        <w:numId w:val="0"/>
      </w:num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23">
    <w:name w:val="重点条目"/>
    <w:basedOn w:val="933"/>
    <w:next w:val="933"/>
    <w:link w:val="898"/>
    <w:pPr>
      <w:spacing w:before="240" w:line="360" w:lineRule="auto"/>
      <w:widowControl/>
    </w:pPr>
    <w:rPr>
      <w:rFonts w:ascii="宋体" w:eastAsia="楷体_GB2312"/>
      <w:b/>
      <w:spacing w:val="20"/>
      <w:sz w:val="28"/>
    </w:rPr>
  </w:style>
  <w:style w:type="paragraph" w:styleId="1124">
    <w:name w:val="条目1"/>
    <w:basedOn w:val="898"/>
    <w:next w:val="1124"/>
    <w:link w:val="898"/>
    <w:pPr>
      <w:ind w:left="425" w:hanging="425"/>
      <w:tabs>
        <w:tab w:val="left" w:pos="425" w:leader="none"/>
      </w:tabs>
    </w:pPr>
    <w:rPr>
      <w:rFonts w:ascii="宋体" w:hAnsi="Courier New"/>
      <w:color w:val="000000"/>
      <w:sz w:val="24"/>
    </w:rPr>
  </w:style>
  <w:style w:type="paragraph" w:styleId="1125">
    <w:name w:val="正文缩进一"/>
    <w:basedOn w:val="898"/>
    <w:next w:val="898"/>
    <w:link w:val="898"/>
    <w:pPr>
      <w:numPr>
        <w:ilvl w:val="0"/>
        <w:numId w:val="8"/>
      </w:numPr>
      <w:spacing w:line="360" w:lineRule="auto"/>
      <w:widowControl/>
      <w:tabs>
        <w:tab w:val="left" w:pos="705" w:leader="none"/>
      </w:tabs>
    </w:pPr>
    <w:rPr>
      <w:rFonts w:ascii="宋体" w:hAnsi="宋体"/>
      <w:spacing w:val="8"/>
      <w:sz w:val="28"/>
    </w:rPr>
  </w:style>
  <w:style w:type="paragraph" w:styleId="1126">
    <w:name w:val="样式2"/>
    <w:basedOn w:val="898"/>
    <w:next w:val="1126"/>
    <w:link w:val="898"/>
    <w:pPr>
      <w:ind w:firstLine="811"/>
      <w:jc w:val="left"/>
      <w:spacing w:line="360" w:lineRule="auto"/>
      <w:widowControl/>
    </w:pPr>
    <w:rPr>
      <w:rFonts w:ascii="宋体"/>
      <w:sz w:val="28"/>
    </w:rPr>
  </w:style>
  <w:style w:type="paragraph" w:styleId="1127">
    <w:name w:val="xl72"/>
    <w:basedOn w:val="898"/>
    <w:next w:val="1127"/>
    <w:link w:val="898"/>
    <w:pPr>
      <w:jc w:val="center"/>
      <w:spacing w:before="100" w:beforeAutospacing="1" w:after="100" w:afterAutospacing="1"/>
      <w:widowControl/>
    </w:pPr>
    <w:rPr>
      <w:rFonts w:ascii="仿宋_GB2312" w:hAnsi="宋体" w:eastAsia="仿宋_GB2312" w:cs="宋体"/>
      <w:sz w:val="24"/>
      <w:szCs w:val="24"/>
    </w:rPr>
  </w:style>
  <w:style w:type="paragraph" w:styleId="1128">
    <w:name w:val="Blockquote"/>
    <w:basedOn w:val="898"/>
    <w:next w:val="1128"/>
    <w:link w:val="898"/>
    <w:pPr>
      <w:ind w:left="360" w:right="360"/>
      <w:jc w:val="left"/>
      <w:spacing w:before="100" w:after="100"/>
    </w:pPr>
    <w:rPr>
      <w:sz w:val="24"/>
      <w:szCs w:val="21"/>
    </w:rPr>
  </w:style>
  <w:style w:type="character" w:styleId="1129">
    <w:name w:val="日期 Char Char"/>
    <w:next w:val="1129"/>
    <w:link w:val="898"/>
    <w:rPr>
      <w:rFonts w:ascii="宋体" w:hAnsi="宋体" w:eastAsia="楷体_GB2312"/>
      <w:sz w:val="24"/>
    </w:rPr>
  </w:style>
  <w:style w:type="paragraph" w:styleId="1130">
    <w:name w:val=" Char Char4"/>
    <w:basedOn w:val="898"/>
    <w:next w:val="1130"/>
    <w:link w:val="898"/>
    <w:pPr>
      <w:jc w:val="left"/>
      <w:spacing w:after="160" w:line="240" w:lineRule="exact"/>
      <w:widowControl/>
    </w:pPr>
    <w:rPr>
      <w:rFonts w:ascii="Verdana" w:hAnsi="Verdana"/>
      <w:sz w:val="20"/>
      <w:lang w:eastAsia="en-US"/>
    </w:rPr>
  </w:style>
  <w:style w:type="paragraph" w:styleId="1131">
    <w:name w:val=" Char Char Char Char Char Char Char Char Char Char"/>
    <w:basedOn w:val="898"/>
    <w:next w:val="1131"/>
    <w:link w:val="898"/>
    <w:pPr>
      <w:numPr>
        <w:ilvl w:val="0"/>
        <w:numId w:val="3"/>
      </w:numPr>
      <w:tabs>
        <w:tab w:val="left" w:pos="360" w:leader="none"/>
        <w:tab w:val="left" w:pos="960" w:leader="none"/>
      </w:tabs>
    </w:pPr>
    <w:rPr>
      <w:sz w:val="24"/>
      <w:szCs w:val="24"/>
    </w:rPr>
  </w:style>
  <w:style w:type="paragraph" w:styleId="1132">
    <w:name w:val="Plain Text2"/>
    <w:basedOn w:val="898"/>
    <w:next w:val="1132"/>
    <w:link w:val="898"/>
    <w:rPr>
      <w:rFonts w:hint="eastAsia" w:ascii="宋体" w:hAnsi="Courier New" w:eastAsia="楷体_GB2312"/>
      <w:sz w:val="28"/>
    </w:rPr>
  </w:style>
  <w:style w:type="paragraph" w:styleId="1133">
    <w:name w:val="ECS正文1"/>
    <w:basedOn w:val="898"/>
    <w:next w:val="1133"/>
    <w:link w:val="898"/>
    <w:pPr>
      <w:ind w:firstLine="562"/>
      <w:jc w:val="left"/>
      <w:spacing w:before="156" w:after="156" w:line="360" w:lineRule="auto"/>
      <w:widowControl/>
    </w:pPr>
    <w:rPr>
      <w:rFonts w:ascii="仿宋_GB2312" w:hAnsi="宋体" w:eastAsia="仿宋_GB2312"/>
      <w:bCs/>
      <w:sz w:val="24"/>
      <w:szCs w:val="24"/>
    </w:rPr>
  </w:style>
  <w:style w:type="paragraph" w:styleId="1134">
    <w:name w:val="font8"/>
    <w:basedOn w:val="898"/>
    <w:next w:val="1134"/>
    <w:link w:val="898"/>
    <w:pPr>
      <w:jc w:val="left"/>
      <w:spacing w:before="100" w:beforeAutospacing="1" w:after="100" w:afterAutospacing="1"/>
      <w:widowControl/>
    </w:pPr>
    <w:rPr>
      <w:rFonts w:ascii="宋体" w:hAnsi="宋体" w:cs="宋体"/>
      <w:color w:val="000000"/>
      <w:sz w:val="18"/>
      <w:szCs w:val="18"/>
    </w:rPr>
  </w:style>
  <w:style w:type="paragraph" w:styleId="1135">
    <w:name w:val="font9"/>
    <w:basedOn w:val="898"/>
    <w:next w:val="1135"/>
    <w:link w:val="898"/>
    <w:pPr>
      <w:jc w:val="left"/>
      <w:spacing w:before="100" w:beforeAutospacing="1" w:after="100" w:afterAutospacing="1"/>
      <w:widowControl/>
    </w:pPr>
    <w:rPr>
      <w:rFonts w:ascii="Arial" w:hAnsi="Arial" w:cs="Arial"/>
      <w:sz w:val="20"/>
    </w:rPr>
  </w:style>
  <w:style w:type="paragraph" w:styleId="1136">
    <w:name w:val="font10"/>
    <w:basedOn w:val="898"/>
    <w:next w:val="1136"/>
    <w:link w:val="898"/>
    <w:pPr>
      <w:jc w:val="left"/>
      <w:spacing w:before="100" w:beforeAutospacing="1" w:after="100" w:afterAutospacing="1"/>
      <w:widowControl/>
    </w:pPr>
    <w:rPr>
      <w:rFonts w:ascii="宋体" w:hAnsi="宋体" w:cs="宋体"/>
      <w:sz w:val="18"/>
      <w:szCs w:val="18"/>
    </w:rPr>
  </w:style>
  <w:style w:type="paragraph" w:styleId="1137">
    <w:name w:val="font11"/>
    <w:basedOn w:val="898"/>
    <w:next w:val="1137"/>
    <w:link w:val="898"/>
    <w:pPr>
      <w:jc w:val="left"/>
      <w:spacing w:before="100" w:beforeAutospacing="1" w:after="100" w:afterAutospacing="1"/>
      <w:widowControl/>
    </w:pPr>
    <w:rPr>
      <w:rFonts w:ascii="宋体" w:hAnsi="宋体" w:cs="宋体"/>
      <w:sz w:val="18"/>
      <w:szCs w:val="18"/>
    </w:rPr>
  </w:style>
  <w:style w:type="paragraph" w:styleId="1138">
    <w:name w:val="font12"/>
    <w:basedOn w:val="898"/>
    <w:next w:val="1138"/>
    <w:link w:val="898"/>
    <w:pPr>
      <w:jc w:val="left"/>
      <w:spacing w:before="100" w:beforeAutospacing="1" w:after="100" w:afterAutospacing="1"/>
      <w:widowControl/>
    </w:pPr>
    <w:rPr>
      <w:rFonts w:ascii="宋体" w:hAnsi="宋体" w:cs="宋体"/>
      <w:sz w:val="18"/>
      <w:szCs w:val="18"/>
    </w:rPr>
  </w:style>
  <w:style w:type="paragraph" w:styleId="1139">
    <w:name w:val="font13"/>
    <w:basedOn w:val="898"/>
    <w:next w:val="1139"/>
    <w:link w:val="898"/>
    <w:pPr>
      <w:jc w:val="left"/>
      <w:spacing w:before="100" w:beforeAutospacing="1" w:after="100" w:afterAutospacing="1"/>
      <w:widowControl/>
    </w:pPr>
    <w:rPr>
      <w:rFonts w:ascii="宋体" w:hAnsi="宋体" w:cs="宋体"/>
      <w:sz w:val="20"/>
    </w:rPr>
  </w:style>
  <w:style w:type="paragraph" w:styleId="1140">
    <w:name w:val="font14"/>
    <w:basedOn w:val="898"/>
    <w:next w:val="1140"/>
    <w:link w:val="898"/>
    <w:pPr>
      <w:jc w:val="left"/>
      <w:spacing w:before="100" w:beforeAutospacing="1" w:after="100" w:afterAutospacing="1"/>
      <w:widowControl/>
    </w:pPr>
    <w:rPr>
      <w:rFonts w:ascii="宋体" w:hAnsi="宋体" w:cs="宋体"/>
      <w:sz w:val="20"/>
    </w:rPr>
  </w:style>
  <w:style w:type="paragraph" w:styleId="1141">
    <w:name w:val="font15"/>
    <w:basedOn w:val="898"/>
    <w:next w:val="1141"/>
    <w:link w:val="898"/>
    <w:pPr>
      <w:jc w:val="left"/>
      <w:spacing w:before="100" w:beforeAutospacing="1" w:after="100" w:afterAutospacing="1"/>
      <w:widowControl/>
    </w:pPr>
    <w:rPr>
      <w:rFonts w:ascii="宋体" w:hAnsi="宋体" w:cs="宋体"/>
      <w:sz w:val="18"/>
      <w:szCs w:val="18"/>
    </w:rPr>
  </w:style>
  <w:style w:type="paragraph" w:styleId="1142">
    <w:name w:val="font16"/>
    <w:basedOn w:val="898"/>
    <w:next w:val="1142"/>
    <w:link w:val="898"/>
    <w:pPr>
      <w:jc w:val="left"/>
      <w:spacing w:before="100" w:beforeAutospacing="1" w:after="100" w:afterAutospacing="1"/>
      <w:widowControl/>
    </w:pPr>
    <w:rPr>
      <w:rFonts w:ascii="宋体" w:hAnsi="宋体" w:cs="宋体"/>
      <w:sz w:val="20"/>
    </w:rPr>
  </w:style>
  <w:style w:type="paragraph" w:styleId="1143">
    <w:name w:val="font17"/>
    <w:basedOn w:val="898"/>
    <w:next w:val="1143"/>
    <w:link w:val="898"/>
    <w:pPr>
      <w:jc w:val="left"/>
      <w:spacing w:before="100" w:beforeAutospacing="1" w:after="100" w:afterAutospacing="1"/>
      <w:widowControl/>
    </w:pPr>
    <w:rPr>
      <w:rFonts w:ascii="宋体" w:hAnsi="宋体" w:cs="宋体"/>
      <w:sz w:val="20"/>
    </w:rPr>
  </w:style>
  <w:style w:type="paragraph" w:styleId="1144">
    <w:name w:val="font18"/>
    <w:basedOn w:val="898"/>
    <w:next w:val="1144"/>
    <w:link w:val="898"/>
    <w:pPr>
      <w:jc w:val="left"/>
      <w:spacing w:before="100" w:beforeAutospacing="1" w:after="100" w:afterAutospacing="1"/>
      <w:widowControl/>
    </w:pPr>
    <w:rPr>
      <w:rFonts w:ascii="宋体" w:hAnsi="宋体" w:cs="宋体"/>
      <w:sz w:val="20"/>
    </w:rPr>
  </w:style>
  <w:style w:type="paragraph" w:styleId="1145">
    <w:name w:val="font19"/>
    <w:basedOn w:val="898"/>
    <w:next w:val="1145"/>
    <w:link w:val="898"/>
    <w:pPr>
      <w:jc w:val="left"/>
      <w:spacing w:before="100" w:beforeAutospacing="1" w:after="100" w:afterAutospacing="1"/>
      <w:widowControl/>
    </w:pPr>
    <w:rPr>
      <w:rFonts w:ascii="宋体" w:hAnsi="宋体" w:cs="宋体"/>
      <w:sz w:val="20"/>
    </w:rPr>
  </w:style>
  <w:style w:type="paragraph" w:styleId="1146">
    <w:name w:val="font20"/>
    <w:basedOn w:val="898"/>
    <w:next w:val="1146"/>
    <w:link w:val="898"/>
    <w:pPr>
      <w:jc w:val="left"/>
      <w:spacing w:before="100" w:beforeAutospacing="1" w:after="100" w:afterAutospacing="1"/>
      <w:widowControl/>
    </w:pPr>
    <w:rPr>
      <w:rFonts w:ascii="宋体" w:hAnsi="宋体" w:cs="宋体"/>
      <w:sz w:val="20"/>
    </w:rPr>
  </w:style>
  <w:style w:type="paragraph" w:styleId="1147">
    <w:name w:val="xl104"/>
    <w:basedOn w:val="898"/>
    <w:next w:val="114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name w:val="xl105"/>
    <w:basedOn w:val="898"/>
    <w:next w:val="1148"/>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9">
    <w:name w:val="xl106"/>
    <w:basedOn w:val="898"/>
    <w:next w:val="1149"/>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0">
    <w:name w:val="xl107"/>
    <w:basedOn w:val="898"/>
    <w:next w:val="1150"/>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1">
    <w:name w:val="xl108"/>
    <w:basedOn w:val="898"/>
    <w:next w:val="1151"/>
    <w:link w:val="898"/>
    <w:pPr>
      <w:jc w:val="left"/>
      <w:spacing w:before="100" w:beforeAutospacing="1" w:after="100" w:afterAutospacing="1"/>
      <w:shd w:val="clear" w:color="000000" w:fill="ffffff"/>
      <w:widowControl/>
    </w:pPr>
    <w:rPr>
      <w:rFonts w:ascii="Arial" w:hAnsi="Arial" w:cs="Arial"/>
      <w:sz w:val="20"/>
    </w:rPr>
  </w:style>
  <w:style w:type="paragraph" w:styleId="1152">
    <w:name w:val="xl109"/>
    <w:basedOn w:val="898"/>
    <w:next w:val="1152"/>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3">
    <w:name w:val="xl110"/>
    <w:basedOn w:val="898"/>
    <w:next w:val="115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4">
    <w:name w:val="xl111"/>
    <w:basedOn w:val="898"/>
    <w:next w:val="1154"/>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5">
    <w:name w:val="xl112"/>
    <w:basedOn w:val="898"/>
    <w:next w:val="1155"/>
    <w:link w:val="898"/>
    <w:pPr>
      <w:jc w:val="left"/>
      <w:spacing w:before="100" w:beforeAutospacing="1" w:after="100" w:afterAutospacing="1"/>
      <w:shd w:val="clear" w:color="000000" w:fill="ffffff"/>
      <w:widowControl/>
    </w:pPr>
    <w:rPr>
      <w:rFonts w:ascii="Arial" w:hAnsi="Arial" w:cs="Arial"/>
      <w:sz w:val="20"/>
    </w:rPr>
  </w:style>
  <w:style w:type="paragraph" w:styleId="1156">
    <w:name w:val="xl113"/>
    <w:basedOn w:val="898"/>
    <w:next w:val="1156"/>
    <w:link w:val="898"/>
    <w:pPr>
      <w:jc w:val="center"/>
      <w:spacing w:before="100" w:beforeAutospacing="1" w:after="100" w:afterAutospacing="1"/>
      <w:shd w:val="clear" w:color="000000" w:fill="ffffff"/>
      <w:widowControl/>
    </w:pPr>
    <w:rPr>
      <w:rFonts w:ascii="Arial" w:hAnsi="Arial" w:cs="Arial"/>
      <w:sz w:val="20"/>
    </w:rPr>
  </w:style>
  <w:style w:type="paragraph" w:styleId="1157">
    <w:name w:val="xl114"/>
    <w:basedOn w:val="898"/>
    <w:next w:val="1157"/>
    <w:link w:val="898"/>
    <w:pPr>
      <w:jc w:val="left"/>
      <w:spacing w:before="100" w:beforeAutospacing="1" w:after="100" w:afterAutospacing="1"/>
      <w:shd w:val="clear" w:color="000000" w:fill="ffffff"/>
      <w:widowControl/>
    </w:pPr>
    <w:rPr>
      <w:rFonts w:ascii="Arial" w:hAnsi="Arial" w:cs="Arial"/>
      <w:b/>
      <w:bCs/>
      <w:sz w:val="20"/>
    </w:rPr>
  </w:style>
  <w:style w:type="paragraph" w:styleId="1158">
    <w:name w:val="xl115"/>
    <w:basedOn w:val="898"/>
    <w:next w:val="115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9">
    <w:name w:val="xl116"/>
    <w:basedOn w:val="898"/>
    <w:next w:val="115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0">
    <w:name w:val="xl117"/>
    <w:basedOn w:val="898"/>
    <w:next w:val="1160"/>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1">
    <w:name w:val="xl118"/>
    <w:basedOn w:val="898"/>
    <w:next w:val="1161"/>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2">
    <w:name w:val="xl119"/>
    <w:basedOn w:val="898"/>
    <w:next w:val="1162"/>
    <w:link w:val="89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63">
    <w:name w:val="xl120"/>
    <w:basedOn w:val="898"/>
    <w:next w:val="116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4">
    <w:name w:val="xl121"/>
    <w:basedOn w:val="898"/>
    <w:next w:val="116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5">
    <w:name w:val="xl122"/>
    <w:basedOn w:val="898"/>
    <w:next w:val="1165"/>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6">
    <w:name w:val="xl123"/>
    <w:basedOn w:val="898"/>
    <w:next w:val="1166"/>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7">
    <w:name w:val="xl124"/>
    <w:basedOn w:val="898"/>
    <w:next w:val="116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8">
    <w:name w:val="xl125"/>
    <w:basedOn w:val="898"/>
    <w:next w:val="116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169">
    <w:name w:val="xl126"/>
    <w:basedOn w:val="898"/>
    <w:next w:val="1169"/>
    <w:link w:val="898"/>
    <w:pPr>
      <w:jc w:val="left"/>
      <w:spacing w:before="100" w:beforeAutospacing="1" w:after="100" w:afterAutospacing="1"/>
      <w:shd w:val="clear" w:color="000000" w:fill="ffffff"/>
      <w:widowControl/>
    </w:pPr>
    <w:rPr>
      <w:rFonts w:ascii="Arial" w:hAnsi="Arial" w:cs="Arial"/>
      <w:sz w:val="20"/>
    </w:rPr>
  </w:style>
  <w:style w:type="paragraph" w:styleId="1170">
    <w:name w:val="xl127"/>
    <w:basedOn w:val="898"/>
    <w:next w:val="1170"/>
    <w:link w:val="898"/>
    <w:pPr>
      <w:jc w:val="left"/>
      <w:spacing w:before="100" w:beforeAutospacing="1" w:after="100" w:afterAutospacing="1"/>
      <w:shd w:val="clear" w:color="000000" w:fill="ffffff"/>
      <w:widowControl/>
    </w:pPr>
    <w:rPr>
      <w:rFonts w:ascii="Arial" w:hAnsi="Arial" w:cs="Arial"/>
      <w:sz w:val="20"/>
    </w:rPr>
  </w:style>
  <w:style w:type="paragraph" w:styleId="1171">
    <w:name w:val="xl128"/>
    <w:basedOn w:val="898"/>
    <w:next w:val="1171"/>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2">
    <w:name w:val="xl129"/>
    <w:basedOn w:val="898"/>
    <w:next w:val="1172"/>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3">
    <w:name w:val="xl130"/>
    <w:basedOn w:val="898"/>
    <w:next w:val="117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4">
    <w:name w:val="xl131"/>
    <w:basedOn w:val="898"/>
    <w:next w:val="117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name w:val="xl132"/>
    <w:basedOn w:val="898"/>
    <w:next w:val="1175"/>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name w:val="xl133"/>
    <w:basedOn w:val="898"/>
    <w:next w:val="1176"/>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7">
    <w:name w:val="xl134"/>
    <w:basedOn w:val="898"/>
    <w:next w:val="1177"/>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8">
    <w:name w:val="xl135"/>
    <w:basedOn w:val="898"/>
    <w:next w:val="117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xl136"/>
    <w:basedOn w:val="898"/>
    <w:next w:val="117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0">
    <w:name w:val="xl137"/>
    <w:basedOn w:val="898"/>
    <w:next w:val="1180"/>
    <w:link w:val="898"/>
    <w:pPr>
      <w:jc w:val="left"/>
      <w:spacing w:before="100" w:beforeAutospacing="1" w:after="100" w:afterAutospacing="1"/>
      <w:shd w:val="clear" w:color="000000" w:fill="ffffff"/>
      <w:widowControl/>
    </w:pPr>
    <w:rPr>
      <w:rFonts w:ascii="宋体" w:hAnsi="宋体" w:cs="宋体"/>
      <w:sz w:val="20"/>
    </w:rPr>
  </w:style>
  <w:style w:type="paragraph" w:styleId="1181">
    <w:name w:val="xl138"/>
    <w:basedOn w:val="898"/>
    <w:next w:val="1181"/>
    <w:link w:val="898"/>
    <w:pPr>
      <w:jc w:val="center"/>
      <w:spacing w:before="100" w:beforeAutospacing="1" w:after="100" w:afterAutospacing="1"/>
      <w:shd w:val="clear" w:color="000000" w:fill="ffffff"/>
      <w:widowControl/>
    </w:pPr>
    <w:rPr>
      <w:rFonts w:ascii="Arial" w:hAnsi="Arial" w:cs="Arial"/>
      <w:sz w:val="20"/>
    </w:rPr>
  </w:style>
  <w:style w:type="paragraph" w:styleId="1182">
    <w:name w:val="xl139"/>
    <w:basedOn w:val="898"/>
    <w:next w:val="1182"/>
    <w:link w:val="898"/>
    <w:pPr>
      <w:jc w:val="left"/>
      <w:spacing w:before="100" w:beforeAutospacing="1" w:after="100" w:afterAutospacing="1"/>
      <w:shd w:val="clear" w:color="000000" w:fill="ffffff"/>
      <w:widowControl/>
    </w:pPr>
    <w:rPr>
      <w:rFonts w:ascii="Arial" w:hAnsi="Arial" w:cs="Arial"/>
      <w:sz w:val="20"/>
    </w:rPr>
  </w:style>
  <w:style w:type="paragraph" w:styleId="1183">
    <w:name w:val="xl140"/>
    <w:basedOn w:val="898"/>
    <w:next w:val="1183"/>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4">
    <w:name w:val="xl141"/>
    <w:basedOn w:val="898"/>
    <w:next w:val="1184"/>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5">
    <w:name w:val="xl142"/>
    <w:basedOn w:val="898"/>
    <w:next w:val="1185"/>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6">
    <w:name w:val="xl143"/>
    <w:basedOn w:val="898"/>
    <w:next w:val="1186"/>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87">
    <w:name w:val="xl144"/>
    <w:basedOn w:val="898"/>
    <w:next w:val="1187"/>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8">
    <w:name w:val="xl145"/>
    <w:basedOn w:val="898"/>
    <w:next w:val="1188"/>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9">
    <w:name w:val="xl146"/>
    <w:basedOn w:val="898"/>
    <w:next w:val="118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0">
    <w:name w:val="xl147"/>
    <w:basedOn w:val="898"/>
    <w:next w:val="1190"/>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191">
    <w:name w:val="xl148"/>
    <w:basedOn w:val="898"/>
    <w:next w:val="1191"/>
    <w:link w:val="8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192">
    <w:name w:val="xl149"/>
    <w:basedOn w:val="898"/>
    <w:next w:val="1192"/>
    <w:link w:val="89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93">
    <w:name w:val="xl150"/>
    <w:basedOn w:val="898"/>
    <w:next w:val="1193"/>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4">
    <w:name w:val="xl151"/>
    <w:basedOn w:val="898"/>
    <w:next w:val="119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5">
    <w:name w:val="xl152"/>
    <w:basedOn w:val="898"/>
    <w:next w:val="1195"/>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6">
    <w:name w:val="xl153"/>
    <w:basedOn w:val="898"/>
    <w:next w:val="1196"/>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7">
    <w:name w:val="xl154"/>
    <w:basedOn w:val="898"/>
    <w:next w:val="119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8">
    <w:name w:val="Char Char1 Char Char Char Char Char Char Char"/>
    <w:basedOn w:val="898"/>
    <w:next w:val="1198"/>
    <w:link w:val="898"/>
  </w:style>
  <w:style w:type="character" w:styleId="1199">
    <w:name w:val="Char Char Char Char Char Char Char Char"/>
    <w:next w:val="1199"/>
    <w:link w:val="898"/>
    <w:rPr>
      <w:rFonts w:ascii="Tahoma" w:hAnsi="Tahoma" w:eastAsia="宋体"/>
      <w:sz w:val="24"/>
      <w:lang w:val="en-US" w:eastAsia="zh-CN" w:bidi="ar-SA"/>
    </w:rPr>
  </w:style>
  <w:style w:type="paragraph" w:styleId="1200">
    <w:name w:val="List Paragraph"/>
    <w:basedOn w:val="898"/>
    <w:next w:val="1200"/>
    <w:link w:val="898"/>
    <w:uiPriority w:val="34"/>
    <w:qFormat/>
    <w:pPr>
      <w:ind w:firstLine="420"/>
    </w:pPr>
    <w:rPr>
      <w:rFonts w:ascii="Calibri" w:hAnsi="Calibri"/>
      <w:szCs w:val="21"/>
    </w:rPr>
  </w:style>
  <w:style w:type="character" w:styleId="1201">
    <w:name w:val="列出段落 Char"/>
    <w:next w:val="1201"/>
    <w:link w:val="1202"/>
    <w:rPr>
      <w:sz w:val="28"/>
      <w:szCs w:val="24"/>
      <w:lang w:eastAsia="ar-SA"/>
    </w:rPr>
  </w:style>
  <w:style w:type="paragraph" w:styleId="1202">
    <w:name w:val="列出段落"/>
    <w:basedOn w:val="898"/>
    <w:next w:val="1202"/>
    <w:link w:val="1201"/>
    <w:qFormat/>
    <w:pPr>
      <w:ind w:firstLine="420"/>
    </w:pPr>
    <w:rPr>
      <w:sz w:val="28"/>
      <w:szCs w:val="24"/>
      <w:lang w:eastAsia="ar-SA"/>
    </w:rPr>
  </w:style>
  <w:style w:type="character" w:styleId="1203">
    <w:name w:val="type-string"/>
    <w:next w:val="1203"/>
    <w:link w:val="898"/>
  </w:style>
  <w:style w:type="character" w:styleId="1204">
    <w:name w:val="标题 11 Char"/>
    <w:next w:val="1204"/>
    <w:link w:val="1205"/>
    <w:rPr>
      <w:rFonts w:ascii="宋体" w:hAnsi="宋体" w:eastAsia="黑体"/>
      <w:sz w:val="21"/>
      <w:szCs w:val="24"/>
    </w:rPr>
  </w:style>
  <w:style w:type="paragraph" w:styleId="1205">
    <w:name w:val="标题 11"/>
    <w:basedOn w:val="898"/>
    <w:next w:val="898"/>
    <w:link w:val="1204"/>
    <w:qFormat/>
    <w:pPr>
      <w:spacing w:line="360" w:lineRule="auto"/>
    </w:pPr>
    <w:rPr>
      <w:rFonts w:ascii="宋体" w:hAnsi="宋体" w:eastAsia="黑体"/>
      <w:szCs w:val="24"/>
    </w:rPr>
  </w:style>
  <w:style w:type="character" w:styleId="1206">
    <w:name w:val="webkit-html-attribute-name"/>
    <w:next w:val="1206"/>
    <w:link w:val="898"/>
  </w:style>
  <w:style w:type="character" w:styleId="1207">
    <w:name w:val="webkit-html-attribute-value"/>
    <w:next w:val="1207"/>
    <w:link w:val="898"/>
  </w:style>
  <w:style w:type="character" w:styleId="1208">
    <w:name w:val="样式 首行缩进:  1.92 字符1 Char"/>
    <w:next w:val="1208"/>
    <w:link w:val="1209"/>
    <w:rPr>
      <w:rFonts w:cs="宋体"/>
      <w:sz w:val="24"/>
    </w:rPr>
  </w:style>
  <w:style w:type="paragraph" w:styleId="1209">
    <w:name w:val="样式 首行缩进:  1.92 字符1"/>
    <w:basedOn w:val="898"/>
    <w:next w:val="1209"/>
    <w:link w:val="1208"/>
    <w:pPr>
      <w:ind w:firstLine="192"/>
      <w:spacing w:line="360" w:lineRule="auto"/>
    </w:pPr>
    <w:rPr>
      <w:sz w:val="24"/>
    </w:rPr>
  </w:style>
  <w:style w:type="character" w:styleId="1210">
    <w:name w:val="WW8Num3z0"/>
    <w:next w:val="1210"/>
    <w:link w:val="898"/>
    <w:rPr>
      <w:rFonts w:ascii="Symbol" w:hAnsi="Symbol" w:cs="OpenSymbol"/>
    </w:rPr>
  </w:style>
  <w:style w:type="character" w:styleId="1211">
    <w:name w:val="WW8Num3z1"/>
    <w:next w:val="1211"/>
    <w:link w:val="898"/>
    <w:rPr>
      <w:rFonts w:ascii="OpenSymbol" w:hAnsi="OpenSymbol" w:cs="OpenSymbol"/>
    </w:rPr>
  </w:style>
  <w:style w:type="character" w:styleId="1212">
    <w:name w:val="Absatz-Standardschriftart"/>
    <w:next w:val="1212"/>
    <w:link w:val="898"/>
  </w:style>
  <w:style w:type="character" w:styleId="1213">
    <w:name w:val="WW-Absatz-Standardschriftart"/>
    <w:next w:val="1213"/>
    <w:link w:val="898"/>
  </w:style>
  <w:style w:type="character" w:styleId="1214">
    <w:name w:val="WW-Absatz-Standardschriftart1"/>
    <w:next w:val="1214"/>
    <w:link w:val="898"/>
  </w:style>
  <w:style w:type="character" w:styleId="1215">
    <w:name w:val="Numbering Symbols"/>
    <w:next w:val="1215"/>
    <w:link w:val="898"/>
  </w:style>
  <w:style w:type="character" w:styleId="1216">
    <w:name w:val="Bullets"/>
    <w:next w:val="1216"/>
    <w:link w:val="898"/>
    <w:rPr>
      <w:rFonts w:ascii="OpenSymbol" w:hAnsi="OpenSymbol" w:eastAsia="OpenSymbol" w:cs="OpenSymbol"/>
    </w:rPr>
  </w:style>
  <w:style w:type="character" w:styleId="1217">
    <w:name w:val="纯文本 Char"/>
    <w:next w:val="1217"/>
    <w:link w:val="898"/>
    <w:rPr>
      <w:rFonts w:ascii="宋体" w:hAnsi="Courier New" w:cs="Courier New"/>
      <w:sz w:val="21"/>
      <w:szCs w:val="21"/>
    </w:rPr>
  </w:style>
  <w:style w:type="character" w:styleId="1218">
    <w:name w:val="m1"/>
    <w:next w:val="1218"/>
    <w:link w:val="898"/>
    <w:rPr>
      <w:color w:val="0000ff"/>
    </w:rPr>
  </w:style>
  <w:style w:type="character" w:styleId="1219">
    <w:name w:val="pi1"/>
    <w:next w:val="1219"/>
    <w:link w:val="898"/>
    <w:rPr>
      <w:color w:val="0000ff"/>
    </w:rPr>
  </w:style>
  <w:style w:type="character" w:styleId="1220">
    <w:name w:val="t1"/>
    <w:next w:val="1220"/>
    <w:link w:val="898"/>
    <w:rPr>
      <w:color w:val="990000"/>
    </w:rPr>
  </w:style>
  <w:style w:type="character" w:styleId="1221">
    <w:name w:val="b1"/>
    <w:next w:val="1221"/>
    <w:link w:val="898"/>
    <w:rPr>
      <w:rFonts w:ascii="Courier New" w:hAnsi="Courier New" w:cs="Courier New"/>
      <w:b/>
      <w:bCs/>
      <w:color w:val="ff0000"/>
      <w:u w:val="none"/>
    </w:rPr>
  </w:style>
  <w:style w:type="character" w:styleId="1222">
    <w:name w:val="di1"/>
    <w:next w:val="1222"/>
    <w:link w:val="898"/>
    <w:rPr>
      <w:rFonts w:ascii="Courier" w:hAnsi="Courier"/>
      <w:sz w:val="24"/>
      <w:szCs w:val="24"/>
    </w:rPr>
  </w:style>
  <w:style w:type="character" w:styleId="1223">
    <w:name w:val="apple-style-span"/>
    <w:next w:val="1223"/>
    <w:link w:val="898"/>
  </w:style>
  <w:style w:type="character" w:styleId="1224">
    <w:name w:val="tx1"/>
    <w:next w:val="1224"/>
    <w:link w:val="898"/>
    <w:rPr>
      <w:b/>
      <w:bCs/>
    </w:rPr>
  </w:style>
  <w:style w:type="character" w:styleId="1225">
    <w:name w:val="apple-converted-space"/>
    <w:next w:val="1225"/>
    <w:link w:val="898"/>
  </w:style>
  <w:style w:type="character" w:styleId="1226">
    <w:name w:val="prop"/>
    <w:next w:val="1226"/>
    <w:link w:val="898"/>
  </w:style>
  <w:style w:type="character" w:styleId="1227">
    <w:name w:val="string"/>
    <w:next w:val="1227"/>
    <w:link w:val="898"/>
  </w:style>
  <w:style w:type="character" w:styleId="1228">
    <w:name w:val="num"/>
    <w:next w:val="1228"/>
    <w:link w:val="898"/>
  </w:style>
  <w:style w:type="character" w:styleId="1229">
    <w:name w:val="webkit-html-tag"/>
    <w:next w:val="1229"/>
    <w:link w:val="898"/>
  </w:style>
  <w:style w:type="character" w:styleId="1230">
    <w:name w:val="property"/>
    <w:next w:val="1230"/>
    <w:link w:val="898"/>
  </w:style>
  <w:style w:type="character" w:styleId="1231">
    <w:name w:val="type-number"/>
    <w:next w:val="1231"/>
    <w:link w:val="898"/>
  </w:style>
  <w:style w:type="character" w:styleId="1232">
    <w:name w:val="my正文 Char"/>
    <w:next w:val="1232"/>
    <w:link w:val="1233"/>
    <w:rPr>
      <w:sz w:val="24"/>
      <w:szCs w:val="24"/>
    </w:rPr>
  </w:style>
  <w:style w:type="paragraph" w:styleId="1233">
    <w:name w:val="my正文"/>
    <w:basedOn w:val="898"/>
    <w:next w:val="1233"/>
    <w:link w:val="1232"/>
    <w:pPr>
      <w:ind w:firstLine="480"/>
      <w:spacing w:line="360" w:lineRule="auto"/>
    </w:pPr>
    <w:rPr>
      <w:sz w:val="24"/>
      <w:szCs w:val="24"/>
    </w:rPr>
  </w:style>
  <w:style w:type="character" w:styleId="1234">
    <w:name w:val="书籍标题"/>
    <w:next w:val="1234"/>
    <w:link w:val="898"/>
    <w:uiPriority w:val="33"/>
    <w:qFormat/>
    <w:rPr>
      <w:b/>
      <w:bCs/>
      <w:smallCaps/>
      <w:spacing w:val="5"/>
    </w:rPr>
  </w:style>
  <w:style w:type="paragraph" w:styleId="1235">
    <w:name w:val="Table Contents"/>
    <w:basedOn w:val="898"/>
    <w:next w:val="1235"/>
    <w:link w:val="898"/>
    <w:pPr>
      <w:suppressLineNumbers/>
    </w:pPr>
    <w:rPr>
      <w:sz w:val="28"/>
      <w:szCs w:val="24"/>
      <w:lang w:eastAsia="ar-SA"/>
    </w:rPr>
  </w:style>
  <w:style w:type="paragraph" w:styleId="1236">
    <w:name w:val="表格内容"/>
    <w:basedOn w:val="898"/>
    <w:next w:val="1236"/>
    <w:link w:val="898"/>
    <w:pPr>
      <w:suppressLineNumbers/>
    </w:pPr>
    <w:rPr>
      <w:rFonts w:ascii="Calibri" w:hAnsi="Calibri" w:cs="Calibri"/>
      <w:szCs w:val="22"/>
      <w:lang w:eastAsia="ar-SA"/>
    </w:rPr>
  </w:style>
  <w:style w:type="paragraph" w:styleId="1237">
    <w:name w:val="Caption1"/>
    <w:basedOn w:val="898"/>
    <w:next w:val="1237"/>
    <w:link w:val="898"/>
    <w:pPr>
      <w:spacing w:before="120" w:after="120"/>
      <w:suppressLineNumbers/>
    </w:pPr>
    <w:rPr>
      <w:rFonts w:cs="Tahoma"/>
      <w:i/>
      <w:iCs/>
      <w:sz w:val="24"/>
      <w:szCs w:val="24"/>
      <w:lang w:eastAsia="ar-SA"/>
    </w:rPr>
  </w:style>
  <w:style w:type="paragraph" w:styleId="1238">
    <w:name w:val="Heading"/>
    <w:basedOn w:val="898"/>
    <w:next w:val="933"/>
    <w:link w:val="898"/>
    <w:pPr>
      <w:keepNext/>
      <w:spacing w:before="240" w:after="120"/>
    </w:pPr>
    <w:rPr>
      <w:rFonts w:ascii="Arial" w:hAnsi="Arial" w:cs="Tahoma"/>
      <w:sz w:val="28"/>
      <w:szCs w:val="28"/>
      <w:lang w:eastAsia="ar-SA"/>
    </w:rPr>
  </w:style>
  <w:style w:type="paragraph" w:styleId="1239">
    <w:name w:val="Index"/>
    <w:basedOn w:val="898"/>
    <w:next w:val="1239"/>
    <w:link w:val="898"/>
    <w:pPr>
      <w:suppressLineNumbers/>
    </w:pPr>
    <w:rPr>
      <w:rFonts w:cs="Tahoma"/>
      <w:sz w:val="28"/>
      <w:szCs w:val="24"/>
      <w:lang w:eastAsia="ar-SA"/>
    </w:rPr>
  </w:style>
  <w:style w:type="paragraph" w:styleId="1240">
    <w:name w:val="目录"/>
    <w:basedOn w:val="898"/>
    <w:next w:val="1240"/>
    <w:link w:val="898"/>
    <w:pPr>
      <w:suppressLineNumbers/>
    </w:pPr>
    <w:rPr>
      <w:rFonts w:ascii="Calibri" w:hAnsi="Calibri" w:cs="Tahoma"/>
      <w:szCs w:val="22"/>
      <w:lang w:eastAsia="ar-SA"/>
    </w:rPr>
  </w:style>
  <w:style w:type="character" w:styleId="1241">
    <w:name w:val="HTML 预设格式 Char1"/>
    <w:next w:val="1241"/>
    <w:link w:val="898"/>
    <w:rPr>
      <w:rFonts w:ascii="Courier New" w:hAnsi="Courier New" w:cs="Courier New"/>
    </w:rPr>
  </w:style>
  <w:style w:type="paragraph" w:styleId="1242">
    <w:name w:val="Table Heading"/>
    <w:basedOn w:val="1235"/>
    <w:next w:val="1242"/>
    <w:link w:val="898"/>
    <w:pPr>
      <w:jc w:val="center"/>
    </w:pPr>
    <w:rPr>
      <w:b/>
      <w:bCs/>
    </w:rPr>
  </w:style>
  <w:style w:type="paragraph" w:styleId="1243">
    <w:name w:val="段"/>
    <w:next w:val="1243"/>
    <w:link w:val="898"/>
    <w:pPr>
      <w:ind w:firstLine="200"/>
      <w:jc w:val="both"/>
    </w:pPr>
    <w:rPr>
      <w:rFonts w:ascii="宋体"/>
      <w:sz w:val="21"/>
      <w:lang w:val="en-US" w:eastAsia="zh-CN" w:bidi="ar-SA"/>
    </w:rPr>
  </w:style>
  <w:style w:type="paragraph" w:styleId="1244">
    <w:name w:val="TOC 标题"/>
    <w:basedOn w:val="899"/>
    <w:next w:val="898"/>
    <w:link w:val="898"/>
    <w:uiPriority w:val="39"/>
    <w:qFormat/>
    <w:pPr>
      <w:keepLines/>
      <w:spacing w:before="480" w:line="276" w:lineRule="auto"/>
      <w:widowControl/>
      <w:outlineLvl w:val="9"/>
    </w:pPr>
    <w:rPr>
      <w:rFonts w:ascii="Cambria" w:hAnsi="Cambria"/>
      <w:b/>
      <w:bCs/>
      <w:color w:val="365f91"/>
      <w:szCs w:val="28"/>
    </w:rPr>
  </w:style>
  <w:style w:type="paragraph" w:styleId="1245">
    <w:name w:val="CM2"/>
    <w:basedOn w:val="898"/>
    <w:next w:val="898"/>
    <w:link w:val="898"/>
    <w:pPr>
      <w:jc w:val="left"/>
      <w:spacing w:line="471" w:lineRule="atLeast"/>
    </w:pPr>
    <w:rPr>
      <w:rFonts w:ascii="黑体" w:eastAsia="黑体"/>
      <w:sz w:val="24"/>
      <w:szCs w:val="24"/>
    </w:rPr>
  </w:style>
  <w:style w:type="paragraph" w:styleId="1246">
    <w:name w:val="二級項目番號"/>
    <w:basedOn w:val="898"/>
    <w:next w:val="1246"/>
    <w:link w:val="898"/>
    <w:pPr>
      <w:numPr>
        <w:ilvl w:val="1"/>
        <w:numId w:val="1"/>
      </w:numPr>
      <w:tabs>
        <w:tab w:val="left" w:pos="720" w:leader="none"/>
        <w:tab w:val="left" w:pos="861" w:leader="none"/>
      </w:tabs>
    </w:pPr>
    <w:rPr>
      <w:szCs w:val="24"/>
    </w:rPr>
  </w:style>
  <w:style w:type="paragraph" w:styleId="1247">
    <w:name w:val="样式 标题 3 +"/>
    <w:basedOn w:val="902"/>
    <w:next w:val="903"/>
    <w:link w:val="898"/>
    <w:pPr>
      <w:ind w:left="0" w:firstLine="0"/>
      <w:jc w:val="both"/>
      <w:keepLines/>
      <w:keepNext/>
      <w:spacing w:before="280" w:after="290" w:line="376" w:lineRule="auto"/>
      <w:widowControl w:val="off"/>
    </w:pPr>
    <w:rPr>
      <w:rFonts w:ascii="Arial" w:hAnsi="Arial" w:eastAsia="黑体"/>
      <w:b/>
      <w:bCs/>
      <w:color w:val="000000"/>
      <w:sz w:val="28"/>
      <w:szCs w:val="28"/>
      <w:u w:val="none"/>
    </w:rPr>
  </w:style>
  <w:style w:type="paragraph" w:styleId="1248">
    <w:name w:val="三級項目番號"/>
    <w:basedOn w:val="898"/>
    <w:next w:val="1248"/>
    <w:link w:val="898"/>
    <w:pPr>
      <w:numPr>
        <w:ilvl w:val="2"/>
        <w:numId w:val="1"/>
      </w:numPr>
      <w:tabs>
        <w:tab w:val="left" w:pos="720" w:leader="none"/>
        <w:tab w:val="left" w:pos="1281" w:leader="none"/>
      </w:tabs>
    </w:pPr>
    <w:rPr>
      <w:szCs w:val="24"/>
    </w:rPr>
  </w:style>
  <w:style w:type="paragraph" w:styleId="1249">
    <w:name w:val="xl63"/>
    <w:basedOn w:val="898"/>
    <w:next w:val="1249"/>
    <w:link w:val="898"/>
    <w:pPr>
      <w:jc w:val="left"/>
      <w:spacing w:before="100" w:beforeAutospacing="1" w:after="100" w:afterAutospacing="1"/>
      <w:widowControl/>
    </w:pPr>
    <w:rPr>
      <w:rFonts w:ascii="宋体" w:hAnsi="宋体" w:cs="宋体"/>
      <w:b/>
      <w:bCs/>
      <w:color w:val="0000ff"/>
      <w:sz w:val="24"/>
      <w:szCs w:val="24"/>
    </w:rPr>
  </w:style>
  <w:style w:type="paragraph" w:styleId="1250">
    <w:name w:val="四級項目番號"/>
    <w:basedOn w:val="898"/>
    <w:next w:val="1250"/>
    <w:link w:val="898"/>
    <w:pPr>
      <w:numPr>
        <w:ilvl w:val="3"/>
        <w:numId w:val="1"/>
      </w:numPr>
      <w:tabs>
        <w:tab w:val="left" w:pos="360" w:leader="none"/>
        <w:tab w:val="left" w:pos="1701" w:leader="none"/>
      </w:tabs>
    </w:pPr>
    <w:rPr>
      <w:szCs w:val="24"/>
    </w:rPr>
  </w:style>
  <w:style w:type="paragraph" w:styleId="1251">
    <w:name w:val="修订"/>
    <w:next w:val="1251"/>
    <w:link w:val="898"/>
    <w:uiPriority w:val="99"/>
    <w:semiHidden/>
    <w:rPr>
      <w:sz w:val="28"/>
      <w:szCs w:val="24"/>
      <w:lang w:val="en-US" w:eastAsia="ar-SA" w:bidi="ar-SA"/>
    </w:rPr>
  </w:style>
  <w:style w:type="paragraph" w:styleId="1252">
    <w:name w:val="一級項目番號"/>
    <w:basedOn w:val="898"/>
    <w:next w:val="1252"/>
    <w:link w:val="898"/>
    <w:pPr>
      <w:numPr>
        <w:ilvl w:val="0"/>
        <w:numId w:val="1"/>
      </w:numPr>
      <w:tabs>
        <w:tab w:val="left" w:pos="360" w:leader="none"/>
      </w:tabs>
    </w:pPr>
    <w:rPr>
      <w:b/>
      <w:sz w:val="32"/>
      <w:szCs w:val="24"/>
    </w:rPr>
  </w:style>
  <w:style w:type="paragraph" w:styleId="1253">
    <w:name w:val="五級項目番號"/>
    <w:basedOn w:val="898"/>
    <w:next w:val="1253"/>
    <w:link w:val="898"/>
    <w:pPr>
      <w:numPr>
        <w:ilvl w:val="4"/>
        <w:numId w:val="1"/>
      </w:numPr>
      <w:tabs>
        <w:tab w:val="left" w:pos="360" w:leader="none"/>
        <w:tab w:val="left" w:pos="2121" w:leader="none"/>
      </w:tabs>
    </w:pPr>
    <w:rPr>
      <w:szCs w:val="24"/>
    </w:rPr>
  </w:style>
  <w:style w:type="paragraph" w:styleId="1254">
    <w:name w:val="xl69"/>
    <w:basedOn w:val="898"/>
    <w:next w:val="125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5">
    <w:name w:val="Default"/>
    <w:next w:val="1255"/>
    <w:link w:val="898"/>
    <w:pPr>
      <w:widowControl w:val="off"/>
    </w:pPr>
    <w:rPr>
      <w:rFonts w:ascii="宋体" w:hAnsi="Calibri" w:cs="宋体"/>
      <w:color w:val="000000"/>
      <w:sz w:val="24"/>
      <w:szCs w:val="24"/>
      <w:lang w:val="en-US" w:eastAsia="zh-CN" w:bidi="ar-SA"/>
    </w:rPr>
  </w:style>
  <w:style w:type="paragraph" w:styleId="1256">
    <w:name w:val="xl71"/>
    <w:basedOn w:val="898"/>
    <w:next w:val="1256"/>
    <w:link w:val="898"/>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257">
    <w:name w:val="xl73"/>
    <w:basedOn w:val="898"/>
    <w:next w:val="125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8">
    <w:name w:val="xl66"/>
    <w:basedOn w:val="898"/>
    <w:next w:val="1258"/>
    <w:link w:val="898"/>
    <w:pPr>
      <w:jc w:val="left"/>
      <w:spacing w:before="100" w:beforeAutospacing="1" w:after="100" w:afterAutospacing="1"/>
      <w:widowControl/>
    </w:pPr>
    <w:rPr>
      <w:rFonts w:ascii="宋体" w:hAnsi="宋体" w:cs="宋体"/>
      <w:sz w:val="24"/>
      <w:szCs w:val="24"/>
    </w:rPr>
  </w:style>
  <w:style w:type="paragraph" w:styleId="1259">
    <w:name w:val="xl67"/>
    <w:basedOn w:val="898"/>
    <w:next w:val="1259"/>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xl68"/>
    <w:basedOn w:val="898"/>
    <w:next w:val="126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61">
    <w:name w:val="xl70"/>
    <w:basedOn w:val="898"/>
    <w:next w:val="1261"/>
    <w:link w:val="898"/>
    <w:pPr>
      <w:jc w:val="center"/>
      <w:spacing w:before="100" w:beforeAutospacing="1" w:after="100" w:afterAutospacing="1"/>
      <w:widowControl/>
    </w:pPr>
    <w:rPr>
      <w:rFonts w:ascii="宋体" w:hAnsi="宋体" w:cs="宋体"/>
      <w:sz w:val="24"/>
      <w:szCs w:val="24"/>
    </w:rPr>
  </w:style>
  <w:style w:type="paragraph" w:styleId="1262">
    <w:name w:val="A正文五号"/>
    <w:basedOn w:val="898"/>
    <w:next w:val="1262"/>
    <w:link w:val="1263"/>
    <w:qFormat/>
    <w:pPr>
      <w:ind w:firstLine="200"/>
      <w:spacing w:line="360" w:lineRule="auto"/>
    </w:pPr>
    <w:rPr>
      <w:szCs w:val="24"/>
    </w:rPr>
  </w:style>
  <w:style w:type="character" w:styleId="1263">
    <w:name w:val="A正文五号 Char"/>
    <w:next w:val="1263"/>
    <w:link w:val="1262"/>
    <w:rPr>
      <w:sz w:val="21"/>
      <w:szCs w:val="24"/>
    </w:rPr>
  </w:style>
  <w:style w:type="character" w:styleId="1264">
    <w:name w:val=" Char Char8"/>
    <w:next w:val="1264"/>
    <w:link w:val="898"/>
    <w:rPr>
      <w:rFonts w:ascii="宋体" w:hAnsi="Courier New" w:eastAsia="楷体_GB2312"/>
      <w:sz w:val="28"/>
    </w:rPr>
  </w:style>
  <w:style w:type="paragraph" w:styleId="1265">
    <w:name w:val="p0"/>
    <w:basedOn w:val="898"/>
    <w:next w:val="1265"/>
    <w:link w:val="898"/>
    <w:pPr>
      <w:widowControl/>
    </w:pPr>
    <w:rPr>
      <w:szCs w:val="21"/>
    </w:rPr>
  </w:style>
  <w:style w:type="paragraph" w:styleId="1266">
    <w:name w:val="默认段落字体 Para Char Char Char Char Char Char Char"/>
    <w:basedOn w:val="898"/>
    <w:next w:val="1266"/>
    <w:link w:val="898"/>
    <w:pPr>
      <w:spacing w:line="360" w:lineRule="auto"/>
    </w:pPr>
    <w:rPr>
      <w:rFonts w:ascii="Tahoma" w:hAnsi="Tahoma"/>
      <w:sz w:val="24"/>
    </w:rPr>
  </w:style>
  <w:style w:type="paragraph" w:styleId="1267">
    <w:name w:val="xl74"/>
    <w:basedOn w:val="898"/>
    <w:next w:val="126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8">
    <w:name w:val="xl75"/>
    <w:basedOn w:val="898"/>
    <w:next w:val="1268"/>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69">
    <w:name w:val="xl76"/>
    <w:basedOn w:val="898"/>
    <w:next w:val="1269"/>
    <w:link w:val="898"/>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270">
    <w:name w:val="xl77"/>
    <w:basedOn w:val="898"/>
    <w:next w:val="1270"/>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1">
    <w:name w:val="xl78"/>
    <w:basedOn w:val="898"/>
    <w:next w:val="1271"/>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2">
    <w:name w:val="xl79"/>
    <w:basedOn w:val="898"/>
    <w:next w:val="1272"/>
    <w:link w:val="898"/>
    <w:pPr>
      <w:jc w:val="left"/>
      <w:spacing w:before="100" w:beforeAutospacing="1" w:after="100" w:afterAutospacing="1"/>
      <w:widowControl/>
    </w:pPr>
    <w:rPr>
      <w:rFonts w:ascii="宋体" w:hAnsi="宋体" w:cs="宋体"/>
      <w:sz w:val="18"/>
      <w:szCs w:val="18"/>
    </w:rPr>
  </w:style>
  <w:style w:type="paragraph" w:styleId="1273">
    <w:name w:val="xl80"/>
    <w:basedOn w:val="898"/>
    <w:next w:val="127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4">
    <w:name w:val="xl81"/>
    <w:basedOn w:val="898"/>
    <w:next w:val="127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5">
    <w:name w:val="xl82"/>
    <w:basedOn w:val="898"/>
    <w:next w:val="127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6">
    <w:name w:val="xl83"/>
    <w:basedOn w:val="898"/>
    <w:next w:val="1276"/>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77">
    <w:name w:val="xl84"/>
    <w:basedOn w:val="898"/>
    <w:next w:val="1277"/>
    <w:link w:val="89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78">
    <w:name w:val="xl85"/>
    <w:basedOn w:val="898"/>
    <w:next w:val="1278"/>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9">
    <w:name w:val="xl86"/>
    <w:basedOn w:val="898"/>
    <w:next w:val="1279"/>
    <w:link w:val="898"/>
    <w:pPr>
      <w:jc w:val="left"/>
      <w:spacing w:before="100" w:beforeAutospacing="1" w:after="100" w:afterAutospacing="1"/>
      <w:widowControl/>
    </w:pPr>
    <w:rPr>
      <w:rFonts w:ascii="宋体" w:hAnsi="宋体" w:cs="宋体"/>
      <w:sz w:val="18"/>
      <w:szCs w:val="18"/>
    </w:rPr>
  </w:style>
  <w:style w:type="paragraph" w:styleId="1280">
    <w:name w:val="xl87"/>
    <w:basedOn w:val="898"/>
    <w:next w:val="1280"/>
    <w:link w:val="89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name w:val="xl88"/>
    <w:basedOn w:val="898"/>
    <w:next w:val="1281"/>
    <w:link w:val="89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2">
    <w:name w:val="xl89"/>
    <w:basedOn w:val="898"/>
    <w:next w:val="1282"/>
    <w:link w:val="898"/>
    <w:pPr>
      <w:jc w:val="center"/>
      <w:spacing w:before="100" w:beforeAutospacing="1" w:after="100" w:afterAutospacing="1"/>
      <w:widowControl/>
    </w:pPr>
    <w:rPr>
      <w:rFonts w:ascii="宋体" w:hAnsi="宋体" w:cs="宋体"/>
      <w:sz w:val="18"/>
      <w:szCs w:val="18"/>
    </w:rPr>
  </w:style>
  <w:style w:type="paragraph" w:styleId="1283">
    <w:name w:val="xl90"/>
    <w:basedOn w:val="898"/>
    <w:next w:val="1283"/>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name w:val="xl91"/>
    <w:basedOn w:val="898"/>
    <w:next w:val="1284"/>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5">
    <w:name w:val="xl92"/>
    <w:basedOn w:val="898"/>
    <w:next w:val="1285"/>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6">
    <w:name w:val="xl93"/>
    <w:basedOn w:val="898"/>
    <w:next w:val="1286"/>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87">
    <w:name w:val="xl94"/>
    <w:basedOn w:val="898"/>
    <w:next w:val="1287"/>
    <w:link w:val="898"/>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88">
    <w:name w:val="xl95"/>
    <w:basedOn w:val="898"/>
    <w:next w:val="1288"/>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89">
    <w:name w:val="xl96"/>
    <w:basedOn w:val="898"/>
    <w:next w:val="1289"/>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90">
    <w:name w:val="xl97"/>
    <w:basedOn w:val="898"/>
    <w:next w:val="1290"/>
    <w:link w:val="898"/>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91">
    <w:name w:val="xl98"/>
    <w:basedOn w:val="898"/>
    <w:next w:val="1291"/>
    <w:link w:val="89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92">
    <w:name w:val="GP正文(首行缩进)"/>
    <w:basedOn w:val="898"/>
    <w:next w:val="1292"/>
    <w:link w:val="898"/>
    <w:qFormat/>
    <w:pPr>
      <w:ind w:firstLine="200"/>
      <w:jc w:val="left"/>
      <w:spacing w:line="360" w:lineRule="auto"/>
    </w:pPr>
    <w:rPr>
      <w:sz w:val="24"/>
      <w:szCs w:val="21"/>
    </w:rPr>
  </w:style>
  <w:style w:type="character" w:styleId="1293">
    <w:name w:val="ca-11"/>
    <w:next w:val="1293"/>
    <w:link w:val="898"/>
    <w:qFormat/>
    <w:rPr>
      <w:rFonts w:hint="eastAsia" w:ascii="宋体" w:hAnsi="宋体" w:eastAsia="宋体"/>
      <w:sz w:val="24"/>
      <w:szCs w:val="24"/>
    </w:rPr>
  </w:style>
  <w:style w:type="paragraph" w:styleId="1294">
    <w:name w:val="纯文本2"/>
    <w:basedOn w:val="898"/>
    <w:next w:val="1294"/>
    <w:link w:val="898"/>
    <w:qFormat/>
    <w:rPr>
      <w:rFonts w:hint="eastAsia" w:ascii="宋体" w:hAnsi="Courier New" w:eastAsia="楷体_GB2312"/>
      <w:sz w:val="28"/>
    </w:rPr>
  </w:style>
  <w:style w:type="paragraph" w:styleId="1295">
    <w:name w:val="纯文本4"/>
    <w:basedOn w:val="898"/>
    <w:next w:val="1295"/>
    <w:link w:val="898"/>
    <w:qFormat/>
    <w:rPr>
      <w:rFonts w:ascii="宋体" w:hAnsi="Courier New" w:eastAsia="楷体_GB2312"/>
      <w:sz w:val="28"/>
    </w:rPr>
  </w:style>
  <w:style w:type="paragraph" w:styleId="1296">
    <w:name w:val="w"/>
    <w:basedOn w:val="898"/>
    <w:next w:val="1296"/>
    <w:link w:val="898"/>
    <w:pPr>
      <w:jc w:val="left"/>
      <w:spacing w:before="100" w:beforeAutospacing="1" w:after="100" w:afterAutospacing="1" w:line="375" w:lineRule="atLeast"/>
      <w:widowControl/>
    </w:pPr>
    <w:rPr>
      <w:rFonts w:ascii="宋体" w:hAnsi="宋体"/>
      <w:color w:val="000000"/>
      <w:sz w:val="24"/>
    </w:rPr>
  </w:style>
  <w:style w:type="paragraph" w:styleId="1297">
    <w:name w:val="纯文本12"/>
    <w:basedOn w:val="898"/>
    <w:next w:val="1297"/>
    <w:link w:val="898"/>
    <w:rPr>
      <w:rFonts w:hint="eastAsia" w:ascii="宋体" w:hAnsi="Courier New" w:eastAsia="楷体_GB2312"/>
      <w:bCs/>
      <w:sz w:val="28"/>
    </w:rPr>
  </w:style>
  <w:style w:type="paragraph" w:styleId="1298">
    <w:name w:val="font1"/>
    <w:basedOn w:val="898"/>
    <w:next w:val="1298"/>
    <w:link w:val="898"/>
    <w:pPr>
      <w:jc w:val="left"/>
      <w:spacing w:before="100" w:beforeAutospacing="1" w:after="100" w:afterAutospacing="1"/>
      <w:widowControl/>
    </w:pPr>
    <w:rPr>
      <w:rFonts w:ascii="宋体" w:hAnsi="宋体" w:cs="宋体"/>
      <w:sz w:val="22"/>
      <w:szCs w:val="22"/>
    </w:rPr>
  </w:style>
  <w:style w:type="paragraph" w:styleId="1299">
    <w:name w:val="xl65"/>
    <w:basedOn w:val="898"/>
    <w:next w:val="1299"/>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300">
    <w:name w:val="xc正文 Char"/>
    <w:next w:val="1300"/>
    <w:link w:val="1301"/>
    <w:qFormat/>
    <w:rPr>
      <w:sz w:val="24"/>
      <w:szCs w:val="24"/>
      <w:lang w:val="zh-CN"/>
    </w:rPr>
  </w:style>
  <w:style w:type="paragraph" w:styleId="1301">
    <w:name w:val="xc正文"/>
    <w:basedOn w:val="898"/>
    <w:next w:val="1301"/>
    <w:link w:val="1300"/>
    <w:qFormat/>
    <w:pPr>
      <w:ind w:firstLine="200"/>
      <w:spacing w:line="360" w:lineRule="auto"/>
    </w:pPr>
    <w:rPr>
      <w:sz w:val="24"/>
      <w:szCs w:val="24"/>
      <w:lang w:val="zh-CN"/>
    </w:rPr>
  </w:style>
  <w:style w:type="table" w:styleId="1302">
    <w:name w:val="招投标"/>
    <w:basedOn w:val="909"/>
    <w:next w:val="1302"/>
    <w:link w:val="898"/>
    <w:uiPriority w:val="99"/>
    <w:pPr>
      <w:jc w:val="center"/>
    </w:pPr>
    <w:rPr>
      <w:rFonts w:ascii="Calibri" w:hAnsi="Calibri" w:eastAsia="宋体" w:cs="Times New Roman"/>
      <w:sz w:val="21"/>
      <w:szCs w:val="22"/>
    </w:rPr>
    <w:tblPr/>
  </w:style>
  <w:style w:type="paragraph" w:styleId="1303">
    <w:name w:val="Table Paragraph"/>
    <w:basedOn w:val="898"/>
    <w:next w:val="1303"/>
    <w:link w:val="898"/>
    <w:uiPriority w:val="1"/>
    <w:qFormat/>
    <w:pPr>
      <w:jc w:val="left"/>
    </w:pPr>
    <w:rPr>
      <w:rFonts w:cs="Times New Roman"/>
      <w:sz w:val="22"/>
      <w:szCs w:val="22"/>
      <w:lang w:eastAsia="en-US"/>
    </w:rPr>
  </w:style>
  <w:style w:type="character" w:styleId="1304">
    <w:name w:val="NormalCharacter1"/>
    <w:next w:val="1304"/>
    <w:link w:val="898"/>
    <w:qFormat/>
  </w:style>
  <w:style w:type="paragraph" w:styleId="1305">
    <w:name w:val="纯文本11"/>
    <w:basedOn w:val="898"/>
    <w:next w:val="1305"/>
    <w:link w:val="898"/>
    <w:qFormat/>
    <w:pPr>
      <w:jc w:val="left"/>
      <w:widowControl/>
    </w:pPr>
    <w:rPr>
      <w:rFonts w:ascii="宋体" w:hAnsi="Courier New" w:eastAsia="楷体_GB2312"/>
      <w:sz w:val="26"/>
    </w:rPr>
  </w:style>
  <w:style w:type="character" w:styleId="1306">
    <w:name w:val="纯文本 Char2"/>
    <w:next w:val="1306"/>
    <w:link w:val="898"/>
    <w:rPr>
      <w:rFonts w:ascii="宋体" w:hAnsi="Courier New" w:eastAsia="楷体_GB2312"/>
      <w:sz w:val="28"/>
      <w:lang w:val="en-US" w:eastAsia="zh-CN" w:bidi="ar-SA"/>
    </w:rPr>
  </w:style>
  <w:style w:type="paragraph" w:styleId="1307">
    <w:name w:val="纯文本1"/>
    <w:basedOn w:val="898"/>
    <w:next w:val="1307"/>
    <w:link w:val="898"/>
    <w:qFormat/>
    <w:rPr>
      <w:rFonts w:ascii="宋体" w:hAnsi="Courier New" w:eastAsia="楷体_GB2312"/>
      <w:sz w:val="28"/>
    </w:rPr>
  </w:style>
  <w:style w:type="character" w:styleId="1308" w:default="1">
    <w:name w:val="Default Paragraph Font"/>
    <w:uiPriority w:val="1"/>
    <w:semiHidden/>
    <w:unhideWhenUsed/>
  </w:style>
  <w:style w:type="numbering" w:styleId="1309" w:default="1">
    <w:name w:val="No List"/>
    <w:uiPriority w:val="99"/>
    <w:semiHidden/>
    <w:unhideWhenUsed/>
  </w:style>
  <w:style w:type="table" w:styleId="13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糯糯</dc:creator>
  <cp:lastModifiedBy>王女容</cp:lastModifiedBy>
  <cp:revision>18</cp:revision>
  <dcterms:created xsi:type="dcterms:W3CDTF">2026-01-04T02:29:00Z</dcterms:created>
  <dcterms:modified xsi:type="dcterms:W3CDTF">2026-01-06T08:45:29Z</dcterms:modified>
  <cp:version>917504</cp:version>
</cp:coreProperties>
</file>